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C5" w:rsidRDefault="003B2B97" w:rsidP="003B2B97">
      <w:pPr>
        <w:jc w:val="center"/>
        <w:rPr>
          <w:b/>
          <w:sz w:val="24"/>
          <w:u w:val="single"/>
        </w:rPr>
      </w:pPr>
      <w:r>
        <w:rPr>
          <w:b/>
          <w:sz w:val="24"/>
          <w:u w:val="single"/>
        </w:rPr>
        <w:t>Toot Hill College UCAS Predicted Grades Policy</w:t>
      </w:r>
    </w:p>
    <w:p w:rsidR="003B2B97" w:rsidRDefault="003B2B97" w:rsidP="003B2B97">
      <w:pPr>
        <w:rPr>
          <w:sz w:val="24"/>
        </w:rPr>
      </w:pPr>
      <w:r>
        <w:rPr>
          <w:sz w:val="24"/>
        </w:rPr>
        <w:t>When students apply for courses via the UCAS process, the school must enter predicted grades for any course students are studying that they have not completed and received their final grade for.</w:t>
      </w:r>
    </w:p>
    <w:p w:rsidR="003B2B97" w:rsidRDefault="003B2B97" w:rsidP="003B2B97">
      <w:pPr>
        <w:rPr>
          <w:sz w:val="24"/>
        </w:rPr>
      </w:pPr>
      <w:r>
        <w:rPr>
          <w:sz w:val="24"/>
        </w:rPr>
        <w:t xml:space="preserve">Below is how </w:t>
      </w:r>
      <w:r w:rsidR="00D8321A">
        <w:rPr>
          <w:sz w:val="24"/>
        </w:rPr>
        <w:t>predicted grades are</w:t>
      </w:r>
      <w:r>
        <w:rPr>
          <w:sz w:val="24"/>
        </w:rPr>
        <w:t xml:space="preserve"> set in Toot Hill College.</w:t>
      </w:r>
    </w:p>
    <w:p w:rsidR="00B524D3" w:rsidRDefault="00B524D3" w:rsidP="003B2B97">
      <w:pPr>
        <w:rPr>
          <w:b/>
          <w:sz w:val="24"/>
          <w:u w:val="single"/>
        </w:rPr>
      </w:pPr>
    </w:p>
    <w:p w:rsidR="003B2B97" w:rsidRPr="00EA3F02" w:rsidRDefault="003B2B97" w:rsidP="00EA3F02">
      <w:pPr>
        <w:pStyle w:val="ListParagraph"/>
        <w:numPr>
          <w:ilvl w:val="0"/>
          <w:numId w:val="1"/>
        </w:numPr>
        <w:rPr>
          <w:b/>
          <w:sz w:val="24"/>
          <w:u w:val="single"/>
        </w:rPr>
      </w:pPr>
      <w:r w:rsidRPr="00EA3F02">
        <w:rPr>
          <w:b/>
          <w:sz w:val="24"/>
          <w:u w:val="single"/>
        </w:rPr>
        <w:t>Predicted Grade policy:</w:t>
      </w:r>
    </w:p>
    <w:p w:rsidR="00B524D3" w:rsidRDefault="003B2B97" w:rsidP="003B2B97">
      <w:pPr>
        <w:rPr>
          <w:sz w:val="24"/>
        </w:rPr>
      </w:pPr>
      <w:r>
        <w:rPr>
          <w:sz w:val="24"/>
        </w:rPr>
        <w:t xml:space="preserve">Students will be predicted the grade they achieve, overall, in their external examinations at the end of Year 12. For most students, this will be the grade they achieve in the AS external examinations. </w:t>
      </w:r>
    </w:p>
    <w:p w:rsidR="003B2B97" w:rsidRPr="00EA3F02" w:rsidRDefault="003B2B97" w:rsidP="003B2B97">
      <w:pPr>
        <w:rPr>
          <w:i/>
          <w:sz w:val="24"/>
        </w:rPr>
      </w:pPr>
      <w:r w:rsidRPr="00EA3F02">
        <w:rPr>
          <w:i/>
          <w:sz w:val="24"/>
        </w:rPr>
        <w:t>For other students, it will be the grade they achieve in their externally marked coursework. If no external examinations are set</w:t>
      </w:r>
      <w:r w:rsidR="00B524D3" w:rsidRPr="00EA3F02">
        <w:rPr>
          <w:i/>
          <w:sz w:val="24"/>
        </w:rPr>
        <w:t xml:space="preserve"> or coursework is not marked externally</w:t>
      </w:r>
      <w:r w:rsidRPr="00EA3F02">
        <w:rPr>
          <w:i/>
          <w:sz w:val="24"/>
        </w:rPr>
        <w:t xml:space="preserve">, it will be based on the formal examinations they have sat in school, or the most recent </w:t>
      </w:r>
      <w:r w:rsidR="009E4633">
        <w:rPr>
          <w:i/>
          <w:sz w:val="24"/>
        </w:rPr>
        <w:t xml:space="preserve">overall </w:t>
      </w:r>
      <w:r w:rsidRPr="00EA3F02">
        <w:rPr>
          <w:i/>
          <w:sz w:val="24"/>
        </w:rPr>
        <w:t>mark for coursework completed in school.</w:t>
      </w:r>
    </w:p>
    <w:p w:rsidR="003B2B97" w:rsidRDefault="003B2B97" w:rsidP="003B2B97">
      <w:pPr>
        <w:rPr>
          <w:sz w:val="24"/>
        </w:rPr>
      </w:pPr>
    </w:p>
    <w:p w:rsidR="003B2B97" w:rsidRPr="00EA3F02" w:rsidRDefault="003B2B97" w:rsidP="00EA3F02">
      <w:pPr>
        <w:pStyle w:val="ListParagraph"/>
        <w:numPr>
          <w:ilvl w:val="0"/>
          <w:numId w:val="1"/>
        </w:numPr>
        <w:rPr>
          <w:b/>
          <w:sz w:val="24"/>
          <w:u w:val="single"/>
        </w:rPr>
      </w:pPr>
      <w:r w:rsidRPr="00EA3F02">
        <w:rPr>
          <w:b/>
          <w:sz w:val="24"/>
          <w:u w:val="single"/>
        </w:rPr>
        <w:t>Scope for grade change</w:t>
      </w:r>
    </w:p>
    <w:p w:rsidR="003B2B97" w:rsidRDefault="003B2B97" w:rsidP="003B2B97">
      <w:pPr>
        <w:rPr>
          <w:sz w:val="24"/>
        </w:rPr>
      </w:pPr>
      <w:r>
        <w:rPr>
          <w:sz w:val="24"/>
        </w:rPr>
        <w:t xml:space="preserve">In the event that a student does not believe the predicted grades – as set above – are a fair reflection of what they will achieve at the end of Year 13, they can </w:t>
      </w:r>
      <w:r w:rsidR="00EA3F02">
        <w:rPr>
          <w:sz w:val="24"/>
        </w:rPr>
        <w:t>choose to follow</w:t>
      </w:r>
      <w:r>
        <w:rPr>
          <w:sz w:val="24"/>
        </w:rPr>
        <w:t xml:space="preserve"> either of the following steps.</w:t>
      </w:r>
    </w:p>
    <w:p w:rsidR="003B2B97" w:rsidRDefault="003B2B97" w:rsidP="003B2B97">
      <w:pPr>
        <w:rPr>
          <w:sz w:val="24"/>
          <w:u w:val="single"/>
        </w:rPr>
      </w:pPr>
      <w:r>
        <w:rPr>
          <w:sz w:val="24"/>
          <w:u w:val="single"/>
        </w:rPr>
        <w:t>Step one:</w:t>
      </w:r>
    </w:p>
    <w:p w:rsidR="003B2B97" w:rsidRDefault="003B2B97" w:rsidP="003B2B97">
      <w:pPr>
        <w:rPr>
          <w:sz w:val="24"/>
        </w:rPr>
      </w:pPr>
      <w:r>
        <w:rPr>
          <w:sz w:val="24"/>
        </w:rPr>
        <w:t xml:space="preserve">Students can apply, via a predicted grade form, to increase their predicted grade </w:t>
      </w:r>
      <w:r w:rsidRPr="00EA3F02">
        <w:rPr>
          <w:sz w:val="24"/>
          <w:u w:val="single"/>
        </w:rPr>
        <w:t>by one grade only</w:t>
      </w:r>
      <w:r>
        <w:rPr>
          <w:sz w:val="24"/>
        </w:rPr>
        <w:t>. This can be done by completing the predicted grade form (attached</w:t>
      </w:r>
      <w:r w:rsidR="00EA3F02">
        <w:rPr>
          <w:sz w:val="24"/>
        </w:rPr>
        <w:t xml:space="preserve"> on the next page</w:t>
      </w:r>
      <w:r>
        <w:rPr>
          <w:sz w:val="24"/>
        </w:rPr>
        <w:t>), which involves consultation with student, tutor, subject teacher and a member of the College leadership team.</w:t>
      </w:r>
    </w:p>
    <w:p w:rsidR="003B2B97" w:rsidRDefault="003B2B97" w:rsidP="003B2B97">
      <w:pPr>
        <w:rPr>
          <w:sz w:val="24"/>
        </w:rPr>
      </w:pPr>
      <w:r>
        <w:rPr>
          <w:sz w:val="24"/>
        </w:rPr>
        <w:t xml:space="preserve">As long as this change of grade is supported by </w:t>
      </w:r>
      <w:r w:rsidR="00EA3F02">
        <w:rPr>
          <w:sz w:val="24"/>
        </w:rPr>
        <w:t xml:space="preserve">all parties – student, </w:t>
      </w:r>
      <w:r>
        <w:rPr>
          <w:sz w:val="24"/>
        </w:rPr>
        <w:t>tutors, subject teachers and a member of the College Leadership Team</w:t>
      </w:r>
      <w:r w:rsidR="00EA3F02">
        <w:rPr>
          <w:sz w:val="24"/>
        </w:rPr>
        <w:t xml:space="preserve"> - </w:t>
      </w:r>
      <w:r>
        <w:rPr>
          <w:sz w:val="24"/>
        </w:rPr>
        <w:t>the student</w:t>
      </w:r>
      <w:r w:rsidR="00EA3F02">
        <w:rPr>
          <w:sz w:val="24"/>
        </w:rPr>
        <w:t>’s</w:t>
      </w:r>
      <w:r>
        <w:rPr>
          <w:sz w:val="24"/>
        </w:rPr>
        <w:t xml:space="preserve"> grade will be increased </w:t>
      </w:r>
      <w:r w:rsidRPr="00EA3F02">
        <w:rPr>
          <w:sz w:val="24"/>
          <w:u w:val="single"/>
        </w:rPr>
        <w:t>by one grade</w:t>
      </w:r>
      <w:r>
        <w:rPr>
          <w:sz w:val="24"/>
        </w:rPr>
        <w:t xml:space="preserve"> once the completed form is received in College.</w:t>
      </w:r>
    </w:p>
    <w:p w:rsidR="003B2B97" w:rsidRDefault="003B2B97" w:rsidP="003B2B97">
      <w:pPr>
        <w:rPr>
          <w:sz w:val="24"/>
          <w:u w:val="single"/>
        </w:rPr>
      </w:pPr>
      <w:r>
        <w:rPr>
          <w:sz w:val="24"/>
          <w:u w:val="single"/>
        </w:rPr>
        <w:t>Step two:</w:t>
      </w:r>
    </w:p>
    <w:p w:rsidR="003B2B97" w:rsidRDefault="003B2B97" w:rsidP="003B2B97">
      <w:pPr>
        <w:rPr>
          <w:sz w:val="24"/>
        </w:rPr>
      </w:pPr>
      <w:r>
        <w:rPr>
          <w:sz w:val="24"/>
        </w:rPr>
        <w:t>If a student feels that an increase of one grade still does not adequately reflect their most likely grade at the end of Year 13, they have the following option to try to increase it further.</w:t>
      </w:r>
    </w:p>
    <w:p w:rsidR="00EA3F02" w:rsidRDefault="003B2B97" w:rsidP="003B2B97">
      <w:pPr>
        <w:rPr>
          <w:sz w:val="24"/>
        </w:rPr>
      </w:pPr>
      <w:r>
        <w:rPr>
          <w:sz w:val="24"/>
        </w:rPr>
        <w:t>Students must sit a</w:t>
      </w:r>
      <w:r w:rsidR="00EA3F02">
        <w:rPr>
          <w:sz w:val="24"/>
        </w:rPr>
        <w:t xml:space="preserve">n </w:t>
      </w:r>
      <w:r w:rsidR="00EA3F02" w:rsidRPr="00EA3F02">
        <w:rPr>
          <w:sz w:val="24"/>
          <w:u w:val="single"/>
        </w:rPr>
        <w:t>unseen</w:t>
      </w:r>
      <w:r>
        <w:rPr>
          <w:sz w:val="24"/>
        </w:rPr>
        <w:t xml:space="preserve"> mock external examination, in the same time </w:t>
      </w:r>
      <w:r w:rsidR="00EA3F02">
        <w:rPr>
          <w:sz w:val="24"/>
        </w:rPr>
        <w:t xml:space="preserve">period </w:t>
      </w:r>
      <w:r>
        <w:rPr>
          <w:sz w:val="24"/>
        </w:rPr>
        <w:t xml:space="preserve">and format as the real exam, marked by their teacher according to the exam board mark scheme. </w:t>
      </w:r>
      <w:r w:rsidR="00EA3F02">
        <w:rPr>
          <w:sz w:val="24"/>
        </w:rPr>
        <w:t xml:space="preserve">All efforts must be made to duplicate the real external examinations as possible. </w:t>
      </w:r>
      <w:r>
        <w:rPr>
          <w:sz w:val="24"/>
        </w:rPr>
        <w:t>This will most likely take place during the Autumn Term formal assessments</w:t>
      </w:r>
      <w:r w:rsidR="00EA3F02">
        <w:rPr>
          <w:sz w:val="24"/>
        </w:rPr>
        <w:t>, but alternative arrangements can be made where timing makes this necessary</w:t>
      </w:r>
      <w:r>
        <w:rPr>
          <w:sz w:val="24"/>
        </w:rPr>
        <w:t xml:space="preserve">. </w:t>
      </w:r>
    </w:p>
    <w:p w:rsidR="00EA3F02" w:rsidRDefault="003B2B97" w:rsidP="003B2B97">
      <w:pPr>
        <w:rPr>
          <w:sz w:val="24"/>
        </w:rPr>
      </w:pPr>
      <w:r>
        <w:rPr>
          <w:sz w:val="24"/>
        </w:rPr>
        <w:t>If students produce evidence in this mock external examination that their grade could be increased further, thorough consultation will follow involving the students, tutor, subject teachers, parent and College Leadership Team to review the evidence and make an informed decision in the best interests of the student.</w:t>
      </w:r>
      <w:r w:rsidR="00EA3F02" w:rsidRPr="00EA3F02">
        <w:rPr>
          <w:sz w:val="24"/>
        </w:rPr>
        <w:t xml:space="preserve"> </w:t>
      </w:r>
    </w:p>
    <w:p w:rsidR="003B2B97" w:rsidRDefault="00EA3F02" w:rsidP="003B2B97">
      <w:pPr>
        <w:rPr>
          <w:sz w:val="24"/>
        </w:rPr>
      </w:pPr>
      <w:r>
        <w:rPr>
          <w:sz w:val="24"/>
        </w:rPr>
        <w:t>If the course is 100% coursework-based, the student must produce their coursework showing the majority of the pieces levelled at a higher grade.</w:t>
      </w:r>
    </w:p>
    <w:p w:rsidR="00121616" w:rsidRDefault="00121616" w:rsidP="00121616">
      <w:pPr>
        <w:jc w:val="center"/>
        <w:rPr>
          <w:sz w:val="32"/>
        </w:rPr>
      </w:pPr>
      <w:r>
        <w:rPr>
          <w:b/>
          <w:sz w:val="32"/>
          <w:u w:val="single"/>
        </w:rPr>
        <w:lastRenderedPageBreak/>
        <w:t>Changing UCAS Predicted Grades Form</w:t>
      </w:r>
    </w:p>
    <w:p w:rsidR="00121616" w:rsidRPr="00DF298E" w:rsidRDefault="00121616" w:rsidP="00121616">
      <w:pPr>
        <w:pStyle w:val="ListParagraph"/>
        <w:numPr>
          <w:ilvl w:val="0"/>
          <w:numId w:val="2"/>
        </w:numPr>
        <w:rPr>
          <w:sz w:val="24"/>
        </w:rPr>
      </w:pPr>
      <w:r w:rsidRPr="00DF298E">
        <w:rPr>
          <w:sz w:val="24"/>
        </w:rPr>
        <w:t>Predicted grades form part of a student’s UCAS application, forming part of the evidence that a university will use to decide whether or not a student is offered a place.</w:t>
      </w:r>
    </w:p>
    <w:p w:rsidR="00121616" w:rsidRPr="00DF298E" w:rsidRDefault="00121616" w:rsidP="00121616">
      <w:pPr>
        <w:pStyle w:val="ListParagraph"/>
        <w:numPr>
          <w:ilvl w:val="0"/>
          <w:numId w:val="2"/>
        </w:numPr>
        <w:rPr>
          <w:sz w:val="24"/>
        </w:rPr>
      </w:pPr>
      <w:r w:rsidRPr="00DF298E">
        <w:rPr>
          <w:sz w:val="24"/>
        </w:rPr>
        <w:t>These grade</w:t>
      </w:r>
      <w:r>
        <w:rPr>
          <w:sz w:val="24"/>
        </w:rPr>
        <w:t>s</w:t>
      </w:r>
      <w:r w:rsidRPr="00DF298E">
        <w:rPr>
          <w:sz w:val="24"/>
        </w:rPr>
        <w:t xml:space="preserve"> </w:t>
      </w:r>
      <w:r w:rsidRPr="00DF298E">
        <w:rPr>
          <w:b/>
          <w:sz w:val="24"/>
          <w:u w:val="single"/>
        </w:rPr>
        <w:t>must</w:t>
      </w:r>
      <w:r w:rsidRPr="00DF298E">
        <w:rPr>
          <w:sz w:val="24"/>
        </w:rPr>
        <w:t xml:space="preserve"> be a realistic reflection of what you believe a student </w:t>
      </w:r>
      <w:r>
        <w:rPr>
          <w:sz w:val="24"/>
        </w:rPr>
        <w:t>truly</w:t>
      </w:r>
      <w:r w:rsidRPr="00DF298E">
        <w:rPr>
          <w:sz w:val="24"/>
        </w:rPr>
        <w:t xml:space="preserve"> has the potential to achieve </w:t>
      </w:r>
      <w:r w:rsidRPr="00DF298E">
        <w:rPr>
          <w:b/>
          <w:sz w:val="24"/>
          <w:u w:val="single"/>
        </w:rPr>
        <w:t>overall</w:t>
      </w:r>
      <w:r>
        <w:rPr>
          <w:sz w:val="24"/>
        </w:rPr>
        <w:t xml:space="preserve"> in their A2 result (taking account AS Level work, results and A2 work and results).</w:t>
      </w:r>
    </w:p>
    <w:p w:rsidR="00121616" w:rsidRDefault="00121616" w:rsidP="00121616">
      <w:pPr>
        <w:pStyle w:val="ListParagraph"/>
        <w:numPr>
          <w:ilvl w:val="0"/>
          <w:numId w:val="2"/>
        </w:numPr>
        <w:rPr>
          <w:sz w:val="24"/>
        </w:rPr>
      </w:pPr>
      <w:r>
        <w:rPr>
          <w:sz w:val="24"/>
        </w:rPr>
        <w:t>If predic</w:t>
      </w:r>
      <w:r w:rsidR="004770CE">
        <w:rPr>
          <w:sz w:val="24"/>
        </w:rPr>
        <w:t>ted too low, this will put the</w:t>
      </w:r>
      <w:r>
        <w:rPr>
          <w:sz w:val="24"/>
        </w:rPr>
        <w:t xml:space="preserve"> student at a disadvantage in their applications, but if predicted too high, runs the risk of students being rejected in the summer when they do not achieve this grade.</w:t>
      </w:r>
    </w:p>
    <w:p w:rsidR="00121616" w:rsidRDefault="00121616" w:rsidP="00121616">
      <w:pPr>
        <w:pStyle w:val="ListParagraph"/>
        <w:numPr>
          <w:ilvl w:val="0"/>
          <w:numId w:val="2"/>
        </w:numPr>
        <w:rPr>
          <w:b/>
          <w:sz w:val="24"/>
        </w:rPr>
      </w:pPr>
      <w:r w:rsidRPr="00DF298E">
        <w:rPr>
          <w:b/>
          <w:sz w:val="24"/>
        </w:rPr>
        <w:t xml:space="preserve">These grades, therefore, should be as aspirational as possible </w:t>
      </w:r>
      <w:r w:rsidRPr="00DF298E">
        <w:rPr>
          <w:b/>
          <w:sz w:val="24"/>
          <w:u w:val="single"/>
        </w:rPr>
        <w:t>but also realistic</w:t>
      </w:r>
      <w:r w:rsidRPr="00DF298E">
        <w:rPr>
          <w:b/>
          <w:sz w:val="24"/>
        </w:rPr>
        <w:t>, taking account of all factors – AS work, AS external results, A2 work, A2 internal results.</w:t>
      </w:r>
    </w:p>
    <w:p w:rsidR="00121616" w:rsidRDefault="00121616" w:rsidP="00121616">
      <w:pPr>
        <w:rPr>
          <w:b/>
          <w:sz w:val="24"/>
        </w:rPr>
      </w:pPr>
      <w:r>
        <w:rPr>
          <w:b/>
          <w:noProof/>
          <w:sz w:val="24"/>
          <w:lang w:eastAsia="en-GB"/>
        </w:rPr>
        <mc:AlternateContent>
          <mc:Choice Requires="wps">
            <w:drawing>
              <wp:anchor distT="0" distB="0" distL="114300" distR="114300" simplePos="0" relativeHeight="251659264" behindDoc="0" locked="0" layoutInCell="1" allowOverlap="1" wp14:anchorId="69CC6822" wp14:editId="61C3C773">
                <wp:simplePos x="0" y="0"/>
                <wp:positionH relativeFrom="column">
                  <wp:posOffset>-75062</wp:posOffset>
                </wp:positionH>
                <wp:positionV relativeFrom="paragraph">
                  <wp:posOffset>61500</wp:posOffset>
                </wp:positionV>
                <wp:extent cx="6768750" cy="777923"/>
                <wp:effectExtent l="0" t="0" r="13335" b="22225"/>
                <wp:wrapNone/>
                <wp:docPr id="1" name="Text Box 1"/>
                <wp:cNvGraphicFramePr/>
                <a:graphic xmlns:a="http://schemas.openxmlformats.org/drawingml/2006/main">
                  <a:graphicData uri="http://schemas.microsoft.com/office/word/2010/wordprocessingShape">
                    <wps:wsp>
                      <wps:cNvSpPr txBox="1"/>
                      <wps:spPr>
                        <a:xfrm>
                          <a:off x="0" y="0"/>
                          <a:ext cx="6768750" cy="777923"/>
                        </a:xfrm>
                        <a:prstGeom prst="rect">
                          <a:avLst/>
                        </a:prstGeom>
                        <a:solidFill>
                          <a:sysClr val="window" lastClr="FFFFFF"/>
                        </a:solidFill>
                        <a:ln w="6350">
                          <a:solidFill>
                            <a:prstClr val="black"/>
                          </a:solidFill>
                        </a:ln>
                        <a:effectLst/>
                      </wps:spPr>
                      <wps:txbx>
                        <w:txbxContent>
                          <w:p w:rsidR="00121616" w:rsidRDefault="00121616" w:rsidP="00121616">
                            <w:pPr>
                              <w:rPr>
                                <w:b/>
                                <w:sz w:val="24"/>
                                <w:u w:val="single"/>
                              </w:rPr>
                            </w:pPr>
                            <w:r>
                              <w:rPr>
                                <w:b/>
                                <w:sz w:val="24"/>
                                <w:u w:val="single"/>
                              </w:rPr>
                              <w:t>Name:</w:t>
                            </w:r>
                          </w:p>
                          <w:p w:rsidR="00121616" w:rsidRPr="00DF298E" w:rsidRDefault="00121616" w:rsidP="00121616">
                            <w:pPr>
                              <w:rPr>
                                <w:b/>
                                <w:sz w:val="24"/>
                                <w:u w:val="single"/>
                              </w:rPr>
                            </w:pPr>
                            <w:r>
                              <w:rPr>
                                <w:b/>
                                <w:sz w:val="24"/>
                                <w:u w:val="single"/>
                              </w:rPr>
                              <w:t>Subject applying for predicted grade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pt;margin-top:4.85pt;width:532.95pt;height:6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" fillcolor="window" strokeweight=".5pt">
                <v:textbox>
                  <w:txbxContent>
                    <w:p w:rsidR="00121616" w:rsidRDefault="00121616" w:rsidP="00121616">
                      <w:pPr>
                        <w:rPr>
                          <w:b/>
                          <w:sz w:val="24"/>
                          <w:u w:val="single"/>
                        </w:rPr>
                      </w:pPr>
                      <w:r>
                        <w:rPr>
                          <w:b/>
                          <w:sz w:val="24"/>
                          <w:u w:val="single"/>
                        </w:rPr>
                        <w:t>Name:</w:t>
                      </w:r>
                    </w:p>
                    <w:p w:rsidR="00121616" w:rsidRPr="00DF298E" w:rsidRDefault="00121616" w:rsidP="00121616">
                      <w:pPr>
                        <w:rPr>
                          <w:b/>
                          <w:sz w:val="24"/>
                          <w:u w:val="single"/>
                        </w:rPr>
                      </w:pPr>
                      <w:r>
                        <w:rPr>
                          <w:b/>
                          <w:sz w:val="24"/>
                          <w:u w:val="single"/>
                        </w:rPr>
                        <w:t>Subject applying for predicted grade change:</w:t>
                      </w:r>
                    </w:p>
                  </w:txbxContent>
                </v:textbox>
              </v:shape>
            </w:pict>
          </mc:Fallback>
        </mc:AlternateContent>
      </w:r>
    </w:p>
    <w:p w:rsidR="00121616" w:rsidRDefault="00121616" w:rsidP="00121616">
      <w:pPr>
        <w:rPr>
          <w:b/>
          <w:sz w:val="24"/>
        </w:rPr>
      </w:pPr>
    </w:p>
    <w:p w:rsidR="00121616" w:rsidRPr="00DF298E" w:rsidRDefault="00121616" w:rsidP="00121616">
      <w:pPr>
        <w:rPr>
          <w:b/>
          <w:sz w:val="24"/>
        </w:rPr>
      </w:pPr>
    </w:p>
    <w:tbl>
      <w:tblPr>
        <w:tblStyle w:val="TableGrid"/>
        <w:tblW w:w="0" w:type="auto"/>
        <w:tblLook w:val="04A0" w:firstRow="1" w:lastRow="0" w:firstColumn="1" w:lastColumn="0" w:noHBand="0" w:noVBand="1"/>
      </w:tblPr>
      <w:tblGrid>
        <w:gridCol w:w="2235"/>
        <w:gridCol w:w="6951"/>
        <w:gridCol w:w="1496"/>
      </w:tblGrid>
      <w:tr w:rsidR="00121616" w:rsidTr="004C545A">
        <w:tc>
          <w:tcPr>
            <w:tcW w:w="2235" w:type="dxa"/>
          </w:tcPr>
          <w:p w:rsidR="00121616" w:rsidRDefault="00121616" w:rsidP="004C545A">
            <w:pPr>
              <w:jc w:val="center"/>
              <w:rPr>
                <w:b/>
                <w:sz w:val="24"/>
                <w:u w:val="single"/>
              </w:rPr>
            </w:pPr>
            <w:r>
              <w:rPr>
                <w:b/>
                <w:sz w:val="24"/>
                <w:u w:val="single"/>
              </w:rPr>
              <w:t>Who to complete?</w:t>
            </w:r>
          </w:p>
        </w:tc>
        <w:tc>
          <w:tcPr>
            <w:tcW w:w="6951" w:type="dxa"/>
          </w:tcPr>
          <w:p w:rsidR="00121616" w:rsidRPr="00DF298E" w:rsidRDefault="00121616" w:rsidP="004C545A">
            <w:pPr>
              <w:jc w:val="center"/>
              <w:rPr>
                <w:b/>
                <w:sz w:val="24"/>
                <w:u w:val="single"/>
              </w:rPr>
            </w:pPr>
            <w:r>
              <w:rPr>
                <w:b/>
                <w:sz w:val="24"/>
                <w:u w:val="single"/>
              </w:rPr>
              <w:t>Please complete:</w:t>
            </w:r>
          </w:p>
        </w:tc>
        <w:tc>
          <w:tcPr>
            <w:tcW w:w="1496" w:type="dxa"/>
          </w:tcPr>
          <w:p w:rsidR="00121616" w:rsidRPr="00DF298E" w:rsidRDefault="00121616" w:rsidP="004C545A">
            <w:pPr>
              <w:jc w:val="center"/>
              <w:rPr>
                <w:b/>
                <w:sz w:val="24"/>
                <w:u w:val="single"/>
              </w:rPr>
            </w:pPr>
            <w:r w:rsidRPr="00DF298E">
              <w:rPr>
                <w:b/>
                <w:sz w:val="24"/>
                <w:u w:val="single"/>
              </w:rPr>
              <w:t>Staff initial</w:t>
            </w:r>
          </w:p>
        </w:tc>
      </w:tr>
      <w:tr w:rsidR="00121616" w:rsidTr="004C545A">
        <w:tc>
          <w:tcPr>
            <w:tcW w:w="2235" w:type="dxa"/>
          </w:tcPr>
          <w:p w:rsidR="00121616" w:rsidRPr="00DF298E" w:rsidRDefault="00121616" w:rsidP="004C545A">
            <w:pPr>
              <w:rPr>
                <w:sz w:val="24"/>
              </w:rPr>
            </w:pPr>
            <w:r w:rsidRPr="00DF298E">
              <w:rPr>
                <w:sz w:val="24"/>
              </w:rPr>
              <w:t>Student</w:t>
            </w:r>
          </w:p>
        </w:tc>
        <w:tc>
          <w:tcPr>
            <w:tcW w:w="6951" w:type="dxa"/>
          </w:tcPr>
          <w:p w:rsidR="00121616" w:rsidRDefault="00121616" w:rsidP="004C545A">
            <w:pPr>
              <w:rPr>
                <w:sz w:val="24"/>
              </w:rPr>
            </w:pPr>
            <w:r>
              <w:rPr>
                <w:sz w:val="24"/>
              </w:rPr>
              <w:t>My overall AS result in this subject was:</w:t>
            </w:r>
          </w:p>
          <w:p w:rsidR="00121616" w:rsidRDefault="00121616" w:rsidP="004C545A">
            <w:pPr>
              <w:rPr>
                <w:sz w:val="24"/>
              </w:rPr>
            </w:pPr>
          </w:p>
          <w:p w:rsidR="00121616" w:rsidRDefault="00121616" w:rsidP="004C545A">
            <w:pPr>
              <w:rPr>
                <w:sz w:val="24"/>
              </w:rPr>
            </w:pPr>
          </w:p>
          <w:p w:rsidR="0092730F" w:rsidRPr="00DF298E" w:rsidRDefault="0092730F" w:rsidP="004C545A">
            <w:pPr>
              <w:rPr>
                <w:sz w:val="24"/>
              </w:rPr>
            </w:pPr>
          </w:p>
        </w:tc>
        <w:tc>
          <w:tcPr>
            <w:tcW w:w="1496" w:type="dxa"/>
          </w:tcPr>
          <w:p w:rsidR="00121616" w:rsidRDefault="00121616" w:rsidP="004C545A">
            <w:pPr>
              <w:rPr>
                <w:sz w:val="24"/>
              </w:rPr>
            </w:pPr>
          </w:p>
          <w:p w:rsidR="00121616" w:rsidRPr="00DF298E" w:rsidRDefault="00121616" w:rsidP="004C545A">
            <w:pPr>
              <w:rPr>
                <w:sz w:val="24"/>
              </w:rPr>
            </w:pPr>
            <w:r>
              <w:rPr>
                <w:sz w:val="24"/>
              </w:rPr>
              <w:t>N/A</w:t>
            </w:r>
          </w:p>
        </w:tc>
      </w:tr>
      <w:tr w:rsidR="00121616" w:rsidTr="004C545A">
        <w:tc>
          <w:tcPr>
            <w:tcW w:w="2235" w:type="dxa"/>
          </w:tcPr>
          <w:p w:rsidR="00121616" w:rsidRPr="00DF298E" w:rsidRDefault="00121616" w:rsidP="004C545A">
            <w:pPr>
              <w:rPr>
                <w:sz w:val="24"/>
              </w:rPr>
            </w:pPr>
            <w:r>
              <w:rPr>
                <w:sz w:val="24"/>
              </w:rPr>
              <w:t>Student</w:t>
            </w:r>
          </w:p>
        </w:tc>
        <w:tc>
          <w:tcPr>
            <w:tcW w:w="6951" w:type="dxa"/>
          </w:tcPr>
          <w:p w:rsidR="00121616" w:rsidRDefault="00121616" w:rsidP="004C545A">
            <w:pPr>
              <w:rPr>
                <w:sz w:val="24"/>
              </w:rPr>
            </w:pPr>
            <w:r>
              <w:rPr>
                <w:sz w:val="24"/>
              </w:rPr>
              <w:t>(If necessary) The grades I achieved in different modules were:</w:t>
            </w:r>
          </w:p>
          <w:p w:rsidR="00121616" w:rsidRDefault="00121616" w:rsidP="004C545A">
            <w:pPr>
              <w:rPr>
                <w:sz w:val="24"/>
              </w:rPr>
            </w:pPr>
          </w:p>
          <w:p w:rsidR="00121616" w:rsidRDefault="00121616" w:rsidP="004C545A">
            <w:pPr>
              <w:rPr>
                <w:sz w:val="24"/>
              </w:rPr>
            </w:pPr>
          </w:p>
          <w:p w:rsidR="0092730F" w:rsidRPr="00DF298E" w:rsidRDefault="0092730F" w:rsidP="004C545A">
            <w:pPr>
              <w:rPr>
                <w:sz w:val="24"/>
              </w:rPr>
            </w:pPr>
          </w:p>
        </w:tc>
        <w:tc>
          <w:tcPr>
            <w:tcW w:w="1496" w:type="dxa"/>
          </w:tcPr>
          <w:p w:rsidR="00121616" w:rsidRDefault="00121616" w:rsidP="004C545A">
            <w:pPr>
              <w:rPr>
                <w:sz w:val="24"/>
              </w:rPr>
            </w:pPr>
          </w:p>
          <w:p w:rsidR="00121616" w:rsidRPr="00DF298E" w:rsidRDefault="00121616" w:rsidP="004C545A">
            <w:pPr>
              <w:rPr>
                <w:sz w:val="24"/>
              </w:rPr>
            </w:pPr>
            <w:r>
              <w:rPr>
                <w:sz w:val="24"/>
              </w:rPr>
              <w:t>N/A</w:t>
            </w:r>
          </w:p>
        </w:tc>
      </w:tr>
      <w:tr w:rsidR="00121616" w:rsidTr="004C545A">
        <w:tc>
          <w:tcPr>
            <w:tcW w:w="2235" w:type="dxa"/>
          </w:tcPr>
          <w:p w:rsidR="00121616" w:rsidRPr="00DF298E" w:rsidRDefault="00121616" w:rsidP="004C545A">
            <w:pPr>
              <w:rPr>
                <w:sz w:val="24"/>
              </w:rPr>
            </w:pPr>
            <w:r>
              <w:rPr>
                <w:sz w:val="24"/>
              </w:rPr>
              <w:t>Student</w:t>
            </w:r>
          </w:p>
        </w:tc>
        <w:tc>
          <w:tcPr>
            <w:tcW w:w="6951" w:type="dxa"/>
          </w:tcPr>
          <w:p w:rsidR="00121616" w:rsidRDefault="00121616" w:rsidP="004C545A">
            <w:pPr>
              <w:rPr>
                <w:sz w:val="24"/>
              </w:rPr>
            </w:pPr>
            <w:r>
              <w:rPr>
                <w:sz w:val="24"/>
              </w:rPr>
              <w:t>My concrete strategy for improving this grade this year is:</w:t>
            </w:r>
          </w:p>
          <w:p w:rsidR="00121616" w:rsidRDefault="00121616" w:rsidP="004C545A">
            <w:pPr>
              <w:rPr>
                <w:sz w:val="24"/>
              </w:rPr>
            </w:pPr>
          </w:p>
          <w:p w:rsidR="0092730F" w:rsidRDefault="0092730F" w:rsidP="004C545A">
            <w:pPr>
              <w:rPr>
                <w:sz w:val="24"/>
              </w:rPr>
            </w:pPr>
          </w:p>
          <w:p w:rsidR="0092730F" w:rsidRDefault="0092730F" w:rsidP="004C545A">
            <w:pPr>
              <w:rPr>
                <w:sz w:val="24"/>
              </w:rPr>
            </w:pPr>
          </w:p>
          <w:p w:rsidR="00121616" w:rsidRPr="00DF298E" w:rsidRDefault="00121616" w:rsidP="004C545A">
            <w:pPr>
              <w:rPr>
                <w:sz w:val="24"/>
              </w:rPr>
            </w:pPr>
          </w:p>
        </w:tc>
        <w:tc>
          <w:tcPr>
            <w:tcW w:w="1496" w:type="dxa"/>
          </w:tcPr>
          <w:p w:rsidR="00121616" w:rsidRDefault="00121616" w:rsidP="004C545A">
            <w:pPr>
              <w:rPr>
                <w:sz w:val="24"/>
              </w:rPr>
            </w:pPr>
          </w:p>
          <w:p w:rsidR="00121616" w:rsidRPr="00DF298E" w:rsidRDefault="00121616" w:rsidP="004C545A">
            <w:pPr>
              <w:rPr>
                <w:sz w:val="24"/>
              </w:rPr>
            </w:pPr>
            <w:r>
              <w:rPr>
                <w:sz w:val="24"/>
              </w:rPr>
              <w:t>N/A</w:t>
            </w:r>
          </w:p>
        </w:tc>
      </w:tr>
      <w:tr w:rsidR="00121616" w:rsidTr="004C545A">
        <w:tc>
          <w:tcPr>
            <w:tcW w:w="2235" w:type="dxa"/>
          </w:tcPr>
          <w:p w:rsidR="00121616" w:rsidRDefault="00121616" w:rsidP="004C545A">
            <w:pPr>
              <w:rPr>
                <w:sz w:val="24"/>
              </w:rPr>
            </w:pPr>
            <w:r>
              <w:rPr>
                <w:sz w:val="24"/>
              </w:rPr>
              <w:t>Tutor</w:t>
            </w:r>
          </w:p>
          <w:p w:rsidR="00121616" w:rsidRDefault="00121616" w:rsidP="004C545A">
            <w:pPr>
              <w:rPr>
                <w:sz w:val="24"/>
              </w:rPr>
            </w:pPr>
          </w:p>
          <w:p w:rsidR="00121616" w:rsidRDefault="00121616" w:rsidP="004C545A">
            <w:pPr>
              <w:rPr>
                <w:sz w:val="24"/>
              </w:rPr>
            </w:pPr>
          </w:p>
        </w:tc>
        <w:tc>
          <w:tcPr>
            <w:tcW w:w="6951" w:type="dxa"/>
          </w:tcPr>
          <w:p w:rsidR="00121616" w:rsidRDefault="00121616" w:rsidP="004C545A">
            <w:pPr>
              <w:rPr>
                <w:sz w:val="24"/>
              </w:rPr>
            </w:pPr>
            <w:r>
              <w:rPr>
                <w:sz w:val="24"/>
              </w:rPr>
              <w:t xml:space="preserve">Based on the evidence above, I believe it is appropriate for this student to discuss the possibility of changing the initial predicted grade with their subject teacher. </w:t>
            </w:r>
          </w:p>
        </w:tc>
        <w:tc>
          <w:tcPr>
            <w:tcW w:w="1496" w:type="dxa"/>
          </w:tcPr>
          <w:p w:rsidR="00121616" w:rsidRPr="00DF298E" w:rsidRDefault="00121616" w:rsidP="004C545A">
            <w:pPr>
              <w:rPr>
                <w:sz w:val="24"/>
              </w:rPr>
            </w:pPr>
          </w:p>
        </w:tc>
      </w:tr>
      <w:tr w:rsidR="00121616" w:rsidTr="004C545A">
        <w:tc>
          <w:tcPr>
            <w:tcW w:w="2235" w:type="dxa"/>
          </w:tcPr>
          <w:p w:rsidR="00121616" w:rsidRPr="00A0236A" w:rsidRDefault="00121616" w:rsidP="004C545A">
            <w:pPr>
              <w:rPr>
                <w:b/>
                <w:sz w:val="24"/>
                <w:u w:val="single"/>
              </w:rPr>
            </w:pPr>
            <w:r w:rsidRPr="00A0236A">
              <w:rPr>
                <w:b/>
                <w:sz w:val="24"/>
                <w:u w:val="single"/>
              </w:rPr>
              <w:t>Subject teacher</w:t>
            </w:r>
          </w:p>
        </w:tc>
        <w:tc>
          <w:tcPr>
            <w:tcW w:w="6951" w:type="dxa"/>
          </w:tcPr>
          <w:p w:rsidR="00121616" w:rsidRPr="00A0236A" w:rsidRDefault="00121616" w:rsidP="004C545A">
            <w:pPr>
              <w:rPr>
                <w:b/>
                <w:sz w:val="24"/>
                <w:u w:val="single"/>
              </w:rPr>
            </w:pPr>
            <w:r w:rsidRPr="00A0236A">
              <w:rPr>
                <w:b/>
                <w:sz w:val="24"/>
                <w:u w:val="single"/>
              </w:rPr>
              <w:t>I have read the paragraph at the top of this form, and understand that this grade will be for the entire A2 Level, and not only for my module.</w:t>
            </w:r>
          </w:p>
        </w:tc>
        <w:tc>
          <w:tcPr>
            <w:tcW w:w="1496" w:type="dxa"/>
          </w:tcPr>
          <w:p w:rsidR="00121616" w:rsidRPr="00DF298E" w:rsidRDefault="00121616" w:rsidP="004C545A">
            <w:pPr>
              <w:rPr>
                <w:sz w:val="24"/>
              </w:rPr>
            </w:pPr>
          </w:p>
        </w:tc>
      </w:tr>
      <w:tr w:rsidR="00121616" w:rsidTr="004C545A">
        <w:tc>
          <w:tcPr>
            <w:tcW w:w="2235" w:type="dxa"/>
          </w:tcPr>
          <w:p w:rsidR="00121616" w:rsidRPr="00DF298E" w:rsidRDefault="00121616" w:rsidP="004C545A">
            <w:pPr>
              <w:rPr>
                <w:sz w:val="24"/>
              </w:rPr>
            </w:pPr>
            <w:r>
              <w:rPr>
                <w:sz w:val="24"/>
              </w:rPr>
              <w:t>Subject teacher</w:t>
            </w:r>
          </w:p>
        </w:tc>
        <w:tc>
          <w:tcPr>
            <w:tcW w:w="6951" w:type="dxa"/>
          </w:tcPr>
          <w:p w:rsidR="00121616" w:rsidRDefault="00121616" w:rsidP="004C545A">
            <w:pPr>
              <w:rPr>
                <w:sz w:val="24"/>
              </w:rPr>
            </w:pPr>
            <w:r>
              <w:rPr>
                <w:sz w:val="24"/>
              </w:rPr>
              <w:t xml:space="preserve">Based on all the evidence above, do you truly believe this student has the capacity to achieve a higher grade than initially predicted? </w:t>
            </w:r>
          </w:p>
          <w:p w:rsidR="00121616" w:rsidRDefault="00121616" w:rsidP="004C545A">
            <w:pPr>
              <w:jc w:val="center"/>
              <w:rPr>
                <w:sz w:val="24"/>
              </w:rPr>
            </w:pPr>
          </w:p>
          <w:p w:rsidR="00121616" w:rsidRDefault="00121616" w:rsidP="004C545A">
            <w:pPr>
              <w:jc w:val="center"/>
              <w:rPr>
                <w:sz w:val="24"/>
              </w:rPr>
            </w:pPr>
            <w:r>
              <w:rPr>
                <w:sz w:val="24"/>
              </w:rPr>
              <w:t>YES / NO</w:t>
            </w:r>
          </w:p>
          <w:p w:rsidR="0092730F" w:rsidRPr="00DF298E" w:rsidRDefault="0092730F" w:rsidP="004C545A">
            <w:pPr>
              <w:jc w:val="center"/>
              <w:rPr>
                <w:sz w:val="24"/>
              </w:rPr>
            </w:pPr>
            <w:bookmarkStart w:id="0" w:name="_GoBack"/>
            <w:bookmarkEnd w:id="0"/>
          </w:p>
        </w:tc>
        <w:tc>
          <w:tcPr>
            <w:tcW w:w="1496" w:type="dxa"/>
          </w:tcPr>
          <w:p w:rsidR="00121616" w:rsidRPr="00DF298E" w:rsidRDefault="00121616" w:rsidP="004C545A">
            <w:pPr>
              <w:rPr>
                <w:sz w:val="24"/>
              </w:rPr>
            </w:pPr>
          </w:p>
        </w:tc>
      </w:tr>
      <w:tr w:rsidR="00121616" w:rsidTr="004C545A">
        <w:tc>
          <w:tcPr>
            <w:tcW w:w="2235" w:type="dxa"/>
          </w:tcPr>
          <w:p w:rsidR="00121616" w:rsidRPr="00DF298E" w:rsidRDefault="00121616" w:rsidP="004C545A">
            <w:pPr>
              <w:rPr>
                <w:sz w:val="24"/>
              </w:rPr>
            </w:pPr>
            <w:r>
              <w:rPr>
                <w:sz w:val="24"/>
              </w:rPr>
              <w:t>Subject teacher</w:t>
            </w:r>
          </w:p>
        </w:tc>
        <w:tc>
          <w:tcPr>
            <w:tcW w:w="6951" w:type="dxa"/>
          </w:tcPr>
          <w:p w:rsidR="00121616" w:rsidRDefault="00121616" w:rsidP="004C545A">
            <w:pPr>
              <w:rPr>
                <w:sz w:val="24"/>
              </w:rPr>
            </w:pPr>
            <w:r>
              <w:rPr>
                <w:sz w:val="24"/>
              </w:rPr>
              <w:t>If you have answered ‘YES’, please indicate the predicted grade you will support:</w:t>
            </w:r>
          </w:p>
          <w:p w:rsidR="00121616" w:rsidRPr="00DF298E" w:rsidRDefault="00121616" w:rsidP="004C545A">
            <w:pPr>
              <w:rPr>
                <w:sz w:val="24"/>
              </w:rPr>
            </w:pPr>
          </w:p>
        </w:tc>
        <w:tc>
          <w:tcPr>
            <w:tcW w:w="1496" w:type="dxa"/>
          </w:tcPr>
          <w:p w:rsidR="00121616" w:rsidRPr="00DF298E" w:rsidRDefault="00121616" w:rsidP="004C545A">
            <w:pPr>
              <w:rPr>
                <w:sz w:val="24"/>
              </w:rPr>
            </w:pPr>
          </w:p>
        </w:tc>
      </w:tr>
      <w:tr w:rsidR="00121616" w:rsidTr="004C545A">
        <w:tc>
          <w:tcPr>
            <w:tcW w:w="2235" w:type="dxa"/>
          </w:tcPr>
          <w:p w:rsidR="00121616" w:rsidRPr="00DF298E" w:rsidRDefault="00121616" w:rsidP="004C545A">
            <w:pPr>
              <w:rPr>
                <w:sz w:val="24"/>
              </w:rPr>
            </w:pPr>
            <w:r>
              <w:rPr>
                <w:sz w:val="24"/>
              </w:rPr>
              <w:t>SGR / TOM / TRA / LCH</w:t>
            </w:r>
          </w:p>
        </w:tc>
        <w:tc>
          <w:tcPr>
            <w:tcW w:w="6951" w:type="dxa"/>
          </w:tcPr>
          <w:p w:rsidR="00121616" w:rsidRPr="00DF298E" w:rsidRDefault="00121616" w:rsidP="004C545A">
            <w:pPr>
              <w:rPr>
                <w:sz w:val="24"/>
              </w:rPr>
            </w:pPr>
            <w:r>
              <w:rPr>
                <w:sz w:val="24"/>
              </w:rPr>
              <w:t>I have reviewed all of the information, and am happy to approve a change to the predicted grade on the spreadsheet in the Achievement Director office (and initial it!)</w:t>
            </w:r>
          </w:p>
        </w:tc>
        <w:tc>
          <w:tcPr>
            <w:tcW w:w="1496" w:type="dxa"/>
          </w:tcPr>
          <w:p w:rsidR="00121616" w:rsidRPr="00DF298E" w:rsidRDefault="00121616" w:rsidP="004C545A">
            <w:pPr>
              <w:rPr>
                <w:sz w:val="24"/>
              </w:rPr>
            </w:pPr>
          </w:p>
        </w:tc>
      </w:tr>
    </w:tbl>
    <w:p w:rsidR="00121616" w:rsidRPr="003B2B97" w:rsidRDefault="00121616" w:rsidP="003B2B97">
      <w:pPr>
        <w:rPr>
          <w:sz w:val="24"/>
        </w:rPr>
      </w:pPr>
    </w:p>
    <w:sectPr w:rsidR="00121616" w:rsidRPr="003B2B97" w:rsidSect="003B2B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D71"/>
    <w:multiLevelType w:val="hybridMultilevel"/>
    <w:tmpl w:val="3AEC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113CC8"/>
    <w:multiLevelType w:val="hybridMultilevel"/>
    <w:tmpl w:val="EDB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97"/>
    <w:rsid w:val="00121616"/>
    <w:rsid w:val="00332BC5"/>
    <w:rsid w:val="003B2B97"/>
    <w:rsid w:val="004770CE"/>
    <w:rsid w:val="00767A08"/>
    <w:rsid w:val="0092730F"/>
    <w:rsid w:val="009E4633"/>
    <w:rsid w:val="00B524D3"/>
    <w:rsid w:val="00D8321A"/>
    <w:rsid w:val="00EA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F02"/>
    <w:pPr>
      <w:ind w:left="720"/>
      <w:contextualSpacing/>
    </w:pPr>
  </w:style>
  <w:style w:type="table" w:styleId="TableGrid">
    <w:name w:val="Table Grid"/>
    <w:basedOn w:val="TableNormal"/>
    <w:uiPriority w:val="59"/>
    <w:rsid w:val="0012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F02"/>
    <w:pPr>
      <w:ind w:left="720"/>
      <w:contextualSpacing/>
    </w:pPr>
  </w:style>
  <w:style w:type="table" w:styleId="TableGrid">
    <w:name w:val="Table Grid"/>
    <w:basedOn w:val="TableNormal"/>
    <w:uiPriority w:val="59"/>
    <w:rsid w:val="0012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Toot Hill School</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Toot Hill School</cp:lastModifiedBy>
  <cp:revision>5</cp:revision>
  <dcterms:created xsi:type="dcterms:W3CDTF">2015-04-23T19:01:00Z</dcterms:created>
  <dcterms:modified xsi:type="dcterms:W3CDTF">2015-04-30T09:42:00Z</dcterms:modified>
</cp:coreProperties>
</file>