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C0" w:rsidRDefault="001B726F" w:rsidP="001B726F">
      <w:pPr>
        <w:jc w:val="center"/>
        <w:rPr>
          <w:b/>
          <w:u w:val="single"/>
        </w:rPr>
      </w:pPr>
      <w:r>
        <w:rPr>
          <w:b/>
          <w:u w:val="single"/>
        </w:rPr>
        <w:t xml:space="preserve">Year 12 to Year 13 </w:t>
      </w:r>
      <w:r w:rsidR="0038134E">
        <w:rPr>
          <w:b/>
          <w:u w:val="single"/>
        </w:rPr>
        <w:t xml:space="preserve">Re-enrolment </w:t>
      </w:r>
      <w:bookmarkStart w:id="0" w:name="_GoBack"/>
      <w:bookmarkEnd w:id="0"/>
      <w:r>
        <w:rPr>
          <w:b/>
          <w:u w:val="single"/>
        </w:rPr>
        <w:t>Policy</w:t>
      </w:r>
    </w:p>
    <w:p w:rsidR="0022793D" w:rsidRDefault="0022793D" w:rsidP="0022793D">
      <w:pPr>
        <w:rPr>
          <w:b/>
          <w:u w:val="single"/>
        </w:rPr>
      </w:pPr>
      <w:r>
        <w:rPr>
          <w:b/>
          <w:u w:val="single"/>
        </w:rPr>
        <w:t>In brief:</w:t>
      </w:r>
    </w:p>
    <w:p w:rsidR="00BA1400" w:rsidRDefault="00BA1400" w:rsidP="00BA1400">
      <w:r>
        <w:t xml:space="preserve">All Year 12 students will receive a final End of Year 12 </w:t>
      </w:r>
      <w:r w:rsidR="009E23D4">
        <w:t>result</w:t>
      </w:r>
      <w:r>
        <w:t>, which will formally indicate the progress they have made on each of their courses this year.</w:t>
      </w:r>
    </w:p>
    <w:p w:rsidR="00BA1400" w:rsidRDefault="00BA1400" w:rsidP="00BA1400">
      <w:r>
        <w:t xml:space="preserve">The evidence used to establish a student’s progress on their courses by the end of Year 12 will differ according to the whether the course is an A Level or Vocational Course. Nevertheless, on both types of course, their </w:t>
      </w:r>
      <w:proofErr w:type="gramStart"/>
      <w:r>
        <w:t>final end</w:t>
      </w:r>
      <w:proofErr w:type="gramEnd"/>
      <w:r>
        <w:t xml:space="preserve"> of Year 12 result will prioritise evidence from Summer Term </w:t>
      </w:r>
      <w:r w:rsidR="0022793D">
        <w:t xml:space="preserve">internal </w:t>
      </w:r>
      <w:r w:rsidR="009E23D4">
        <w:t>assessment fortnight</w:t>
      </w:r>
      <w:r>
        <w:t xml:space="preserve"> </w:t>
      </w:r>
      <w:r w:rsidR="0022793D">
        <w:t xml:space="preserve">(A Levels) </w:t>
      </w:r>
      <w:r>
        <w:t xml:space="preserve">and </w:t>
      </w:r>
      <w:r w:rsidR="009E23D4">
        <w:t xml:space="preserve">Summer Term </w:t>
      </w:r>
      <w:r w:rsidR="0022793D">
        <w:t xml:space="preserve">external </w:t>
      </w:r>
      <w:r>
        <w:t>examinations</w:t>
      </w:r>
      <w:r w:rsidR="0022793D">
        <w:t xml:space="preserve"> (Vocational courses)</w:t>
      </w:r>
      <w:r>
        <w:t>.</w:t>
      </w:r>
    </w:p>
    <w:p w:rsidR="0065001C" w:rsidRDefault="00BA1400" w:rsidP="00BA1400">
      <w:r>
        <w:t>These outcomes will determine whether a student can automatically re-enol on these courses into Year 13 or whether it is appropriate to organise a compulsory meeting with a member of the College Leadership Team, where a range of different options to a student can be considered.</w:t>
      </w:r>
      <w:r w:rsidR="0065001C">
        <w:t xml:space="preserve"> </w:t>
      </w:r>
    </w:p>
    <w:p w:rsidR="00BA1400" w:rsidRPr="0065001C" w:rsidRDefault="0065001C" w:rsidP="00BA1400">
      <w:pPr>
        <w:rPr>
          <w:b/>
        </w:rPr>
      </w:pPr>
      <w:r>
        <w:rPr>
          <w:b/>
        </w:rPr>
        <w:t xml:space="preserve">This sole aim of each </w:t>
      </w:r>
      <w:r w:rsidRPr="0065001C">
        <w:rPr>
          <w:b/>
        </w:rPr>
        <w:t>meeting is to support each student to make an informed and considered choice regarding the next steps on their academic or employment journey.</w:t>
      </w:r>
    </w:p>
    <w:p w:rsidR="0022793D" w:rsidRDefault="0022793D" w:rsidP="00BA1400">
      <w:pPr>
        <w:rPr>
          <w:b/>
        </w:rPr>
      </w:pPr>
    </w:p>
    <w:p w:rsidR="001B726F" w:rsidRPr="00DD08E3" w:rsidRDefault="00DD08E3" w:rsidP="00DD08E3">
      <w:pPr>
        <w:pStyle w:val="ListParagraph"/>
        <w:numPr>
          <w:ilvl w:val="0"/>
          <w:numId w:val="1"/>
        </w:numPr>
        <w:rPr>
          <w:b/>
          <w:u w:val="single"/>
        </w:rPr>
      </w:pPr>
      <w:r>
        <w:rPr>
          <w:b/>
          <w:u w:val="single"/>
        </w:rPr>
        <w:t xml:space="preserve">What are </w:t>
      </w:r>
      <w:r w:rsidR="001B726F" w:rsidRPr="00DD08E3">
        <w:rPr>
          <w:b/>
          <w:u w:val="single"/>
        </w:rPr>
        <w:t>Target Grades</w:t>
      </w:r>
      <w:r>
        <w:rPr>
          <w:b/>
          <w:u w:val="single"/>
        </w:rPr>
        <w:t xml:space="preserve"> and how </w:t>
      </w:r>
      <w:proofErr w:type="gramStart"/>
      <w:r>
        <w:rPr>
          <w:b/>
          <w:u w:val="single"/>
        </w:rPr>
        <w:t>are they calculated</w:t>
      </w:r>
      <w:proofErr w:type="gramEnd"/>
      <w:r>
        <w:rPr>
          <w:b/>
          <w:u w:val="single"/>
        </w:rPr>
        <w:t>?</w:t>
      </w:r>
    </w:p>
    <w:p w:rsidR="001B726F" w:rsidRDefault="001B726F" w:rsidP="001B726F">
      <w:r>
        <w:t xml:space="preserve">Every student at Toot Hill College </w:t>
      </w:r>
      <w:proofErr w:type="gramStart"/>
      <w:r>
        <w:t>is assigned</w:t>
      </w:r>
      <w:proofErr w:type="gramEnd"/>
      <w:r>
        <w:t xml:space="preserve"> a ‘Toot Hill Target’ Grade (THT) for each of the courses they are currently studying.</w:t>
      </w:r>
      <w:r w:rsidR="0022793D">
        <w:t xml:space="preserve"> </w:t>
      </w:r>
      <w:r>
        <w:t xml:space="preserve">The THT takes into account a student’s GCSE results </w:t>
      </w:r>
      <w:proofErr w:type="gramStart"/>
      <w:r>
        <w:t>profile,</w:t>
      </w:r>
      <w:proofErr w:type="gramEnd"/>
      <w:r>
        <w:t xml:space="preserve"> and the national average of attainment in </w:t>
      </w:r>
      <w:r w:rsidR="001848CF">
        <w:t xml:space="preserve">each </w:t>
      </w:r>
      <w:r>
        <w:t>particular course.</w:t>
      </w:r>
    </w:p>
    <w:p w:rsidR="00DD08E3" w:rsidRPr="003F3BF8" w:rsidRDefault="001B726F" w:rsidP="001B726F">
      <w:pPr>
        <w:rPr>
          <w:b/>
        </w:rPr>
      </w:pPr>
      <w:r w:rsidRPr="003F3BF8">
        <w:rPr>
          <w:b/>
        </w:rPr>
        <w:t xml:space="preserve">Essentially, achieving the THT means that a student is achieving at least in line with the national average of progress </w:t>
      </w:r>
      <w:r w:rsidR="001848CF" w:rsidRPr="003F3BF8">
        <w:rPr>
          <w:b/>
        </w:rPr>
        <w:t>for that particular course, given their GCSE Results profile.</w:t>
      </w:r>
    </w:p>
    <w:p w:rsidR="00EF13F1" w:rsidRPr="003F3BF8" w:rsidRDefault="00726B8B" w:rsidP="001B726F">
      <w:pPr>
        <w:rPr>
          <w:i/>
        </w:rPr>
      </w:pPr>
      <w:r w:rsidRPr="003F3BF8">
        <w:rPr>
          <w:i/>
        </w:rPr>
        <w:t>At Toot Hill College, we expect all students to achieve their THT by the end of t</w:t>
      </w:r>
      <w:r w:rsidR="0022793D">
        <w:rPr>
          <w:i/>
        </w:rPr>
        <w:t>heir two years of study with us, and</w:t>
      </w:r>
      <w:r w:rsidR="00EF13F1" w:rsidRPr="003F3BF8">
        <w:rPr>
          <w:i/>
        </w:rPr>
        <w:t xml:space="preserve"> to achieve the equivalent of</w:t>
      </w:r>
      <w:r w:rsidR="001848CF" w:rsidRPr="003F3BF8">
        <w:rPr>
          <w:i/>
        </w:rPr>
        <w:t xml:space="preserve"> three Level 3 qualifications by</w:t>
      </w:r>
      <w:r w:rsidR="00EF13F1" w:rsidRPr="003F3BF8">
        <w:rPr>
          <w:i/>
        </w:rPr>
        <w:t xml:space="preserve"> the end of their time with us.</w:t>
      </w:r>
    </w:p>
    <w:p w:rsidR="001B726F" w:rsidRDefault="001B726F" w:rsidP="001B726F"/>
    <w:p w:rsidR="001B726F" w:rsidRPr="00DD08E3" w:rsidRDefault="00DD08E3" w:rsidP="00DD08E3">
      <w:pPr>
        <w:pStyle w:val="ListParagraph"/>
        <w:numPr>
          <w:ilvl w:val="0"/>
          <w:numId w:val="1"/>
        </w:numPr>
        <w:rPr>
          <w:b/>
          <w:u w:val="single"/>
        </w:rPr>
      </w:pPr>
      <w:r>
        <w:rPr>
          <w:b/>
          <w:u w:val="single"/>
        </w:rPr>
        <w:t xml:space="preserve">What evidence is used to </w:t>
      </w:r>
      <w:r w:rsidR="001848CF">
        <w:rPr>
          <w:b/>
          <w:u w:val="single"/>
        </w:rPr>
        <w:t xml:space="preserve">formally </w:t>
      </w:r>
      <w:r>
        <w:rPr>
          <w:b/>
          <w:u w:val="single"/>
        </w:rPr>
        <w:t xml:space="preserve">establish a student’s </w:t>
      </w:r>
      <w:r w:rsidR="00EF13F1">
        <w:rPr>
          <w:b/>
          <w:u w:val="single"/>
        </w:rPr>
        <w:t>progress</w:t>
      </w:r>
      <w:r>
        <w:rPr>
          <w:b/>
          <w:u w:val="single"/>
        </w:rPr>
        <w:t xml:space="preserve"> by the end of Year 12?</w:t>
      </w:r>
    </w:p>
    <w:p w:rsidR="00BC57FB" w:rsidRDefault="00BC57FB" w:rsidP="001B726F">
      <w:r>
        <w:t xml:space="preserve">Year 12 students currently sit one of </w:t>
      </w:r>
      <w:r w:rsidR="00DC1F51">
        <w:t>two</w:t>
      </w:r>
      <w:r>
        <w:t xml:space="preserve"> different types of Level 3 course:</w:t>
      </w:r>
    </w:p>
    <w:p w:rsidR="00BC57FB" w:rsidRPr="00BA1400" w:rsidRDefault="00BA1400" w:rsidP="00764934">
      <w:pPr>
        <w:pStyle w:val="ListParagraph"/>
        <w:numPr>
          <w:ilvl w:val="0"/>
          <w:numId w:val="7"/>
        </w:numPr>
        <w:rPr>
          <w:color w:val="0070C0"/>
        </w:rPr>
      </w:pPr>
      <w:r>
        <w:rPr>
          <w:b/>
          <w:color w:val="0070C0"/>
        </w:rPr>
        <w:t xml:space="preserve">A Level courses </w:t>
      </w:r>
      <w:r w:rsidRPr="00BA1400">
        <w:rPr>
          <w:color w:val="000000" w:themeColor="text1"/>
        </w:rPr>
        <w:t>(All courses except those below)</w:t>
      </w:r>
    </w:p>
    <w:p w:rsidR="00BC57FB" w:rsidRDefault="00BC57FB" w:rsidP="00BC57FB">
      <w:pPr>
        <w:pStyle w:val="ListParagraph"/>
        <w:numPr>
          <w:ilvl w:val="0"/>
          <w:numId w:val="7"/>
        </w:numPr>
      </w:pPr>
      <w:r w:rsidRPr="003F3BF8">
        <w:rPr>
          <w:b/>
          <w:color w:val="00B050"/>
        </w:rPr>
        <w:t>‘Vocational’ courses</w:t>
      </w:r>
      <w:r w:rsidRPr="003F3BF8">
        <w:rPr>
          <w:color w:val="00B050"/>
        </w:rPr>
        <w:t xml:space="preserve"> </w:t>
      </w:r>
      <w:r>
        <w:t xml:space="preserve">(BTEC Applied Science, Cambridge Technical Business, BTEC ICT, </w:t>
      </w:r>
      <w:proofErr w:type="gramStart"/>
      <w:r>
        <w:t>BTEC</w:t>
      </w:r>
      <w:proofErr w:type="gramEnd"/>
      <w:r>
        <w:t xml:space="preserve"> Sport).</w:t>
      </w:r>
    </w:p>
    <w:p w:rsidR="00BC57FB" w:rsidRDefault="00BC57FB" w:rsidP="001B726F">
      <w:proofErr w:type="gramStart"/>
      <w:r>
        <w:t>Due to the fact that</w:t>
      </w:r>
      <w:proofErr w:type="gramEnd"/>
      <w:r>
        <w:t xml:space="preserve"> </w:t>
      </w:r>
      <w:r w:rsidR="00841722">
        <w:t xml:space="preserve">A Level and Vocational courses are </w:t>
      </w:r>
      <w:r>
        <w:t>assessed in different ways at the end of Year 12, please see below for a summary of how their final progress grade will be determined this year.</w:t>
      </w:r>
      <w:r w:rsidR="0022793D">
        <w:t xml:space="preserve">  </w:t>
      </w:r>
    </w:p>
    <w:p w:rsidR="00BA1400" w:rsidRDefault="00BA1400" w:rsidP="001B726F"/>
    <w:tbl>
      <w:tblPr>
        <w:tblStyle w:val="TableGrid"/>
        <w:tblW w:w="10456" w:type="dxa"/>
        <w:tblLook w:val="04A0" w:firstRow="1" w:lastRow="0" w:firstColumn="1" w:lastColumn="0" w:noHBand="0" w:noVBand="1"/>
      </w:tblPr>
      <w:tblGrid>
        <w:gridCol w:w="1606"/>
        <w:gridCol w:w="2970"/>
        <w:gridCol w:w="3073"/>
        <w:gridCol w:w="2807"/>
      </w:tblGrid>
      <w:tr w:rsidR="00BC57FB" w:rsidTr="00BC57FB">
        <w:trPr>
          <w:trHeight w:val="737"/>
        </w:trPr>
        <w:tc>
          <w:tcPr>
            <w:tcW w:w="1606" w:type="dxa"/>
          </w:tcPr>
          <w:p w:rsidR="00BC57FB" w:rsidRDefault="00BC57FB" w:rsidP="001B726F">
            <w:pPr>
              <w:jc w:val="center"/>
              <w:rPr>
                <w:b/>
                <w:u w:val="single"/>
              </w:rPr>
            </w:pPr>
          </w:p>
          <w:p w:rsidR="00BC57FB" w:rsidRDefault="00BC57FB" w:rsidP="001B726F">
            <w:pPr>
              <w:jc w:val="center"/>
              <w:rPr>
                <w:b/>
                <w:u w:val="single"/>
              </w:rPr>
            </w:pPr>
            <w:r>
              <w:rPr>
                <w:b/>
                <w:u w:val="single"/>
              </w:rPr>
              <w:t>Course type</w:t>
            </w:r>
          </w:p>
          <w:p w:rsidR="00BC57FB" w:rsidRPr="001B726F" w:rsidRDefault="00BC57FB" w:rsidP="001B726F">
            <w:pPr>
              <w:jc w:val="center"/>
              <w:rPr>
                <w:b/>
                <w:u w:val="single"/>
              </w:rPr>
            </w:pPr>
          </w:p>
        </w:tc>
        <w:tc>
          <w:tcPr>
            <w:tcW w:w="2970" w:type="dxa"/>
          </w:tcPr>
          <w:p w:rsidR="00BC57FB" w:rsidRDefault="00BC57FB" w:rsidP="001B726F">
            <w:pPr>
              <w:jc w:val="center"/>
              <w:rPr>
                <w:b/>
                <w:u w:val="single"/>
              </w:rPr>
            </w:pPr>
          </w:p>
          <w:p w:rsidR="00BC57FB" w:rsidRPr="001B726F" w:rsidRDefault="00BC57FB" w:rsidP="001B726F">
            <w:pPr>
              <w:jc w:val="center"/>
              <w:rPr>
                <w:b/>
                <w:u w:val="single"/>
              </w:rPr>
            </w:pPr>
            <w:r>
              <w:rPr>
                <w:b/>
                <w:u w:val="single"/>
              </w:rPr>
              <w:t>Type of end of Year 12 Assessment</w:t>
            </w:r>
          </w:p>
        </w:tc>
        <w:tc>
          <w:tcPr>
            <w:tcW w:w="3073" w:type="dxa"/>
          </w:tcPr>
          <w:p w:rsidR="00BC57FB" w:rsidRDefault="00BC57FB" w:rsidP="001B726F">
            <w:pPr>
              <w:jc w:val="center"/>
              <w:rPr>
                <w:b/>
                <w:u w:val="single"/>
              </w:rPr>
            </w:pPr>
          </w:p>
          <w:p w:rsidR="00BC57FB" w:rsidRDefault="00BC57FB" w:rsidP="001B726F">
            <w:pPr>
              <w:jc w:val="center"/>
              <w:rPr>
                <w:b/>
                <w:u w:val="single"/>
              </w:rPr>
            </w:pPr>
            <w:r>
              <w:rPr>
                <w:b/>
                <w:u w:val="single"/>
              </w:rPr>
              <w:t>When will it be sat?</w:t>
            </w:r>
          </w:p>
        </w:tc>
        <w:tc>
          <w:tcPr>
            <w:tcW w:w="2807" w:type="dxa"/>
          </w:tcPr>
          <w:p w:rsidR="00BC57FB" w:rsidRDefault="00BC57FB" w:rsidP="001B726F">
            <w:pPr>
              <w:jc w:val="center"/>
              <w:rPr>
                <w:b/>
                <w:u w:val="single"/>
              </w:rPr>
            </w:pPr>
          </w:p>
          <w:p w:rsidR="00BC57FB" w:rsidRDefault="00BC57FB" w:rsidP="001B726F">
            <w:pPr>
              <w:jc w:val="center"/>
              <w:rPr>
                <w:b/>
                <w:u w:val="single"/>
              </w:rPr>
            </w:pPr>
            <w:r>
              <w:rPr>
                <w:b/>
                <w:u w:val="single"/>
              </w:rPr>
              <w:t>When will we know their final Year 12 Result?</w:t>
            </w:r>
          </w:p>
        </w:tc>
      </w:tr>
      <w:tr w:rsidR="00841722" w:rsidTr="0022793D">
        <w:trPr>
          <w:trHeight w:val="1514"/>
        </w:trPr>
        <w:tc>
          <w:tcPr>
            <w:tcW w:w="1606" w:type="dxa"/>
          </w:tcPr>
          <w:p w:rsidR="00841722" w:rsidRDefault="00841722" w:rsidP="00A4415F">
            <w:pPr>
              <w:jc w:val="center"/>
              <w:rPr>
                <w:b/>
                <w:color w:val="0070C0"/>
              </w:rPr>
            </w:pPr>
          </w:p>
          <w:p w:rsidR="00841722" w:rsidRPr="003F3BF8" w:rsidRDefault="00841722" w:rsidP="0022793D">
            <w:pPr>
              <w:jc w:val="center"/>
              <w:rPr>
                <w:b/>
              </w:rPr>
            </w:pPr>
            <w:r w:rsidRPr="003F3BF8">
              <w:rPr>
                <w:b/>
                <w:color w:val="0070C0"/>
              </w:rPr>
              <w:t>A Level</w:t>
            </w:r>
            <w:r>
              <w:rPr>
                <w:b/>
                <w:color w:val="0070C0"/>
              </w:rPr>
              <w:t xml:space="preserve"> Courses</w:t>
            </w:r>
          </w:p>
        </w:tc>
        <w:tc>
          <w:tcPr>
            <w:tcW w:w="2970" w:type="dxa"/>
          </w:tcPr>
          <w:p w:rsidR="00841722" w:rsidRDefault="00841722" w:rsidP="00A4415F">
            <w:pPr>
              <w:jc w:val="center"/>
              <w:rPr>
                <w:b/>
                <w:color w:val="0070C0"/>
              </w:rPr>
            </w:pPr>
          </w:p>
          <w:p w:rsidR="00841722" w:rsidRPr="00841722" w:rsidRDefault="00841722" w:rsidP="00841722">
            <w:pPr>
              <w:jc w:val="center"/>
              <w:rPr>
                <w:b/>
                <w:color w:val="0070C0"/>
              </w:rPr>
            </w:pPr>
            <w:proofErr w:type="gramStart"/>
            <w:r>
              <w:rPr>
                <w:b/>
                <w:color w:val="0070C0"/>
              </w:rPr>
              <w:t>Internally-marked</w:t>
            </w:r>
            <w:proofErr w:type="gramEnd"/>
            <w:r>
              <w:rPr>
                <w:b/>
                <w:color w:val="0070C0"/>
              </w:rPr>
              <w:t xml:space="preserve"> formal End of Year </w:t>
            </w:r>
            <w:r w:rsidRPr="003F3BF8">
              <w:rPr>
                <w:b/>
                <w:color w:val="0070C0"/>
              </w:rPr>
              <w:t>12 Assessment.</w:t>
            </w:r>
          </w:p>
        </w:tc>
        <w:tc>
          <w:tcPr>
            <w:tcW w:w="3073" w:type="dxa"/>
          </w:tcPr>
          <w:p w:rsidR="00841722" w:rsidRPr="003F3BF8" w:rsidRDefault="00841722" w:rsidP="00A4415F">
            <w:pPr>
              <w:jc w:val="center"/>
              <w:rPr>
                <w:b/>
                <w:color w:val="0070C0"/>
              </w:rPr>
            </w:pPr>
            <w:r w:rsidRPr="003F3BF8">
              <w:rPr>
                <w:b/>
                <w:color w:val="0070C0"/>
              </w:rPr>
              <w:t xml:space="preserve">Formal Year 12 Internal Assessment </w:t>
            </w:r>
            <w:r>
              <w:rPr>
                <w:b/>
                <w:color w:val="0070C0"/>
              </w:rPr>
              <w:t>fortnight</w:t>
            </w:r>
            <w:r w:rsidRPr="003F3BF8">
              <w:rPr>
                <w:b/>
                <w:color w:val="0070C0"/>
              </w:rPr>
              <w:t>:</w:t>
            </w:r>
          </w:p>
          <w:p w:rsidR="00841722" w:rsidRPr="003F3BF8" w:rsidRDefault="00841722" w:rsidP="00A4415F">
            <w:pPr>
              <w:jc w:val="center"/>
              <w:rPr>
                <w:b/>
                <w:color w:val="0070C0"/>
              </w:rPr>
            </w:pPr>
          </w:p>
          <w:p w:rsidR="00841722" w:rsidRPr="003F3BF8" w:rsidRDefault="00841722" w:rsidP="0022793D">
            <w:pPr>
              <w:jc w:val="center"/>
              <w:rPr>
                <w:b/>
                <w:color w:val="7030A0"/>
              </w:rPr>
            </w:pPr>
            <w:r w:rsidRPr="003F3BF8">
              <w:rPr>
                <w:b/>
                <w:color w:val="0070C0"/>
              </w:rPr>
              <w:t>Monday 1</w:t>
            </w:r>
            <w:r>
              <w:rPr>
                <w:b/>
                <w:color w:val="0070C0"/>
              </w:rPr>
              <w:t>8</w:t>
            </w:r>
            <w:r w:rsidRPr="003F3BF8">
              <w:rPr>
                <w:b/>
                <w:color w:val="0070C0"/>
                <w:vertAlign w:val="superscript"/>
              </w:rPr>
              <w:t>th</w:t>
            </w:r>
            <w:r w:rsidRPr="003F3BF8">
              <w:rPr>
                <w:b/>
                <w:color w:val="0070C0"/>
              </w:rPr>
              <w:t xml:space="preserve"> June – Friday </w:t>
            </w:r>
            <w:r>
              <w:rPr>
                <w:b/>
                <w:color w:val="0070C0"/>
              </w:rPr>
              <w:t>29</w:t>
            </w:r>
            <w:r w:rsidRPr="00841722">
              <w:rPr>
                <w:b/>
                <w:color w:val="0070C0"/>
                <w:vertAlign w:val="superscript"/>
              </w:rPr>
              <w:t>th</w:t>
            </w:r>
            <w:r>
              <w:rPr>
                <w:b/>
                <w:color w:val="0070C0"/>
              </w:rPr>
              <w:t xml:space="preserve">  June 2018</w:t>
            </w:r>
          </w:p>
        </w:tc>
        <w:tc>
          <w:tcPr>
            <w:tcW w:w="2807" w:type="dxa"/>
          </w:tcPr>
          <w:p w:rsidR="00841722" w:rsidRPr="003F3BF8" w:rsidRDefault="00841722" w:rsidP="00A4415F">
            <w:pPr>
              <w:jc w:val="center"/>
              <w:rPr>
                <w:b/>
                <w:color w:val="0070C0"/>
              </w:rPr>
            </w:pPr>
            <w:r w:rsidRPr="003F3BF8">
              <w:rPr>
                <w:b/>
                <w:color w:val="0070C0"/>
              </w:rPr>
              <w:t xml:space="preserve">Year 12 </w:t>
            </w:r>
            <w:r>
              <w:rPr>
                <w:b/>
                <w:color w:val="0070C0"/>
              </w:rPr>
              <w:t xml:space="preserve">Internal </w:t>
            </w:r>
            <w:r w:rsidRPr="003F3BF8">
              <w:rPr>
                <w:b/>
                <w:color w:val="0070C0"/>
              </w:rPr>
              <w:t>Results Day:</w:t>
            </w:r>
          </w:p>
          <w:p w:rsidR="00841722" w:rsidRPr="003F3BF8" w:rsidRDefault="00841722" w:rsidP="00A4415F">
            <w:pPr>
              <w:jc w:val="center"/>
              <w:rPr>
                <w:b/>
                <w:color w:val="0070C0"/>
              </w:rPr>
            </w:pPr>
          </w:p>
          <w:p w:rsidR="00841722" w:rsidRPr="003F3BF8" w:rsidRDefault="00841722" w:rsidP="00A4415F">
            <w:pPr>
              <w:jc w:val="center"/>
              <w:rPr>
                <w:b/>
                <w:color w:val="0070C0"/>
              </w:rPr>
            </w:pPr>
            <w:r w:rsidRPr="003F3BF8">
              <w:rPr>
                <w:b/>
                <w:color w:val="0070C0"/>
              </w:rPr>
              <w:t>Friday 1</w:t>
            </w:r>
            <w:r>
              <w:rPr>
                <w:b/>
                <w:color w:val="0070C0"/>
              </w:rPr>
              <w:t>3</w:t>
            </w:r>
            <w:r w:rsidRPr="003F3BF8">
              <w:rPr>
                <w:b/>
                <w:color w:val="0070C0"/>
                <w:vertAlign w:val="superscript"/>
              </w:rPr>
              <w:t>th</w:t>
            </w:r>
            <w:r>
              <w:rPr>
                <w:b/>
                <w:color w:val="0070C0"/>
              </w:rPr>
              <w:t xml:space="preserve"> July 2018</w:t>
            </w:r>
          </w:p>
          <w:p w:rsidR="00841722" w:rsidRPr="003F3BF8" w:rsidRDefault="00841722" w:rsidP="00A4415F">
            <w:pPr>
              <w:jc w:val="center"/>
              <w:rPr>
                <w:b/>
                <w:color w:val="7030A0"/>
              </w:rPr>
            </w:pPr>
            <w:r w:rsidRPr="003F3BF8">
              <w:rPr>
                <w:b/>
                <w:i/>
                <w:color w:val="0070C0"/>
                <w:sz w:val="16"/>
              </w:rPr>
              <w:t>(Unle</w:t>
            </w:r>
            <w:r>
              <w:rPr>
                <w:b/>
                <w:i/>
                <w:color w:val="0070C0"/>
                <w:sz w:val="16"/>
              </w:rPr>
              <w:t>ss World Challenge – Thursday 12</w:t>
            </w:r>
            <w:r w:rsidRPr="003F3BF8">
              <w:rPr>
                <w:b/>
                <w:i/>
                <w:color w:val="0070C0"/>
                <w:sz w:val="16"/>
                <w:vertAlign w:val="superscript"/>
              </w:rPr>
              <w:t>th</w:t>
            </w:r>
            <w:r>
              <w:rPr>
                <w:b/>
                <w:i/>
                <w:color w:val="0070C0"/>
                <w:sz w:val="16"/>
              </w:rPr>
              <w:t xml:space="preserve"> July 2018</w:t>
            </w:r>
            <w:r w:rsidRPr="003F3BF8">
              <w:rPr>
                <w:b/>
                <w:i/>
                <w:color w:val="0070C0"/>
                <w:sz w:val="16"/>
              </w:rPr>
              <w:t xml:space="preserve"> after school).</w:t>
            </w:r>
          </w:p>
        </w:tc>
      </w:tr>
      <w:tr w:rsidR="00BC57FB" w:rsidTr="00BC57FB">
        <w:trPr>
          <w:trHeight w:val="236"/>
        </w:trPr>
        <w:tc>
          <w:tcPr>
            <w:tcW w:w="1606" w:type="dxa"/>
          </w:tcPr>
          <w:p w:rsidR="00BC57FB" w:rsidRDefault="00BC57FB" w:rsidP="00A4415F">
            <w:pPr>
              <w:jc w:val="center"/>
              <w:rPr>
                <w:b/>
                <w:color w:val="00B050"/>
              </w:rPr>
            </w:pPr>
          </w:p>
          <w:p w:rsidR="003F3BF8" w:rsidRPr="003F3BF8" w:rsidRDefault="003F3BF8" w:rsidP="00A4415F">
            <w:pPr>
              <w:jc w:val="center"/>
              <w:rPr>
                <w:b/>
                <w:color w:val="00B050"/>
              </w:rPr>
            </w:pPr>
          </w:p>
          <w:p w:rsidR="00BC57FB" w:rsidRDefault="00BC57FB" w:rsidP="00A4415F">
            <w:pPr>
              <w:jc w:val="center"/>
              <w:rPr>
                <w:b/>
                <w:color w:val="00B050"/>
              </w:rPr>
            </w:pPr>
            <w:r w:rsidRPr="003F3BF8">
              <w:rPr>
                <w:b/>
                <w:color w:val="00B050"/>
              </w:rPr>
              <w:t>Vocational</w:t>
            </w:r>
          </w:p>
          <w:p w:rsidR="003F3BF8" w:rsidRPr="003F3BF8" w:rsidRDefault="003F3BF8" w:rsidP="00A4415F">
            <w:pPr>
              <w:jc w:val="center"/>
              <w:rPr>
                <w:b/>
                <w:color w:val="00B050"/>
              </w:rPr>
            </w:pPr>
            <w:r>
              <w:rPr>
                <w:b/>
                <w:color w:val="00B050"/>
              </w:rPr>
              <w:t>Courses</w:t>
            </w:r>
          </w:p>
          <w:p w:rsidR="00BC57FB" w:rsidRPr="003F3BF8" w:rsidRDefault="00BC57FB" w:rsidP="00A4415F">
            <w:pPr>
              <w:jc w:val="center"/>
              <w:rPr>
                <w:b/>
                <w:color w:val="00B050"/>
              </w:rPr>
            </w:pPr>
          </w:p>
        </w:tc>
        <w:tc>
          <w:tcPr>
            <w:tcW w:w="2970" w:type="dxa"/>
          </w:tcPr>
          <w:p w:rsidR="00BC57FB" w:rsidRPr="003F3BF8" w:rsidRDefault="003F3BF8" w:rsidP="00A4415F">
            <w:pPr>
              <w:jc w:val="center"/>
              <w:rPr>
                <w:b/>
                <w:color w:val="00B050"/>
              </w:rPr>
            </w:pPr>
            <w:r w:rsidRPr="003F3BF8">
              <w:rPr>
                <w:b/>
                <w:color w:val="00B050"/>
                <w:sz w:val="16"/>
              </w:rPr>
              <w:t xml:space="preserve"> </w:t>
            </w:r>
            <w:r w:rsidR="00BA1400">
              <w:rPr>
                <w:b/>
                <w:color w:val="00B050"/>
              </w:rPr>
              <w:t>A</w:t>
            </w:r>
            <w:r w:rsidRPr="003F3BF8">
              <w:rPr>
                <w:b/>
                <w:color w:val="00B050"/>
              </w:rPr>
              <w:t xml:space="preserve"> mixture of </w:t>
            </w:r>
            <w:proofErr w:type="gramStart"/>
            <w:r w:rsidRPr="003F3BF8">
              <w:rPr>
                <w:b/>
                <w:color w:val="00B050"/>
              </w:rPr>
              <w:t>internally</w:t>
            </w:r>
            <w:r w:rsidR="00BA1400">
              <w:rPr>
                <w:b/>
                <w:color w:val="00B050"/>
              </w:rPr>
              <w:t>-</w:t>
            </w:r>
            <w:r w:rsidRPr="003F3BF8">
              <w:rPr>
                <w:b/>
                <w:color w:val="00B050"/>
              </w:rPr>
              <w:t>marked</w:t>
            </w:r>
            <w:proofErr w:type="gramEnd"/>
            <w:r w:rsidRPr="003F3BF8">
              <w:rPr>
                <w:b/>
                <w:color w:val="00B050"/>
              </w:rPr>
              <w:t xml:space="preserve"> coursework assignments and formal external exam-units marked by the Exam Board.</w:t>
            </w:r>
          </w:p>
          <w:p w:rsidR="00BC57FB" w:rsidRPr="003F3BF8" w:rsidRDefault="00BC57FB" w:rsidP="00A4415F">
            <w:pPr>
              <w:jc w:val="center"/>
              <w:rPr>
                <w:b/>
                <w:color w:val="00B050"/>
              </w:rPr>
            </w:pPr>
          </w:p>
        </w:tc>
        <w:tc>
          <w:tcPr>
            <w:tcW w:w="3073" w:type="dxa"/>
          </w:tcPr>
          <w:p w:rsidR="00BA1400" w:rsidRPr="003F3BF8" w:rsidRDefault="003F3BF8" w:rsidP="0022793D">
            <w:pPr>
              <w:jc w:val="center"/>
              <w:rPr>
                <w:b/>
                <w:color w:val="00B050"/>
              </w:rPr>
            </w:pPr>
            <w:r w:rsidRPr="003F3BF8">
              <w:rPr>
                <w:b/>
                <w:color w:val="00B050"/>
                <w:sz w:val="16"/>
              </w:rPr>
              <w:t xml:space="preserve"> </w:t>
            </w:r>
            <w:r w:rsidRPr="003F3BF8">
              <w:rPr>
                <w:b/>
                <w:color w:val="00B050"/>
              </w:rPr>
              <w:t xml:space="preserve">Coursework assignments </w:t>
            </w:r>
            <w:proofErr w:type="gramStart"/>
            <w:r w:rsidRPr="003F3BF8">
              <w:rPr>
                <w:b/>
                <w:color w:val="00B050"/>
              </w:rPr>
              <w:t>are sat</w:t>
            </w:r>
            <w:proofErr w:type="gramEnd"/>
            <w:r w:rsidRPr="003F3BF8">
              <w:rPr>
                <w:b/>
                <w:color w:val="00B050"/>
              </w:rPr>
              <w:t xml:space="preserve"> continuously throughout the year.</w:t>
            </w:r>
            <w:r w:rsidR="0022793D">
              <w:rPr>
                <w:b/>
                <w:color w:val="00B050"/>
              </w:rPr>
              <w:t xml:space="preserve"> </w:t>
            </w:r>
            <w:r w:rsidR="00BA1400">
              <w:rPr>
                <w:b/>
                <w:color w:val="00B050"/>
              </w:rPr>
              <w:t>V</w:t>
            </w:r>
            <w:r w:rsidRPr="003F3BF8">
              <w:rPr>
                <w:b/>
                <w:color w:val="00B050"/>
              </w:rPr>
              <w:t xml:space="preserve">ocational courses </w:t>
            </w:r>
            <w:r>
              <w:rPr>
                <w:b/>
                <w:color w:val="00B050"/>
              </w:rPr>
              <w:t xml:space="preserve">also </w:t>
            </w:r>
            <w:r w:rsidR="00BA1400">
              <w:rPr>
                <w:b/>
                <w:color w:val="00B050"/>
              </w:rPr>
              <w:t xml:space="preserve">have </w:t>
            </w:r>
            <w:r w:rsidRPr="003F3BF8">
              <w:rPr>
                <w:b/>
                <w:color w:val="00B050"/>
              </w:rPr>
              <w:t>external exam unit</w:t>
            </w:r>
            <w:r w:rsidR="00BA1400">
              <w:rPr>
                <w:b/>
                <w:color w:val="00B050"/>
              </w:rPr>
              <w:t>s</w:t>
            </w:r>
            <w:r>
              <w:rPr>
                <w:b/>
                <w:color w:val="00B050"/>
              </w:rPr>
              <w:t xml:space="preserve"> sat in </w:t>
            </w:r>
            <w:r w:rsidRPr="003F3BF8">
              <w:rPr>
                <w:b/>
                <w:color w:val="00B050"/>
              </w:rPr>
              <w:t>Summer Term.</w:t>
            </w:r>
          </w:p>
        </w:tc>
        <w:tc>
          <w:tcPr>
            <w:tcW w:w="2807" w:type="dxa"/>
          </w:tcPr>
          <w:p w:rsidR="00BC57FB" w:rsidRPr="003F3BF8" w:rsidRDefault="003F3BF8" w:rsidP="00A4415F">
            <w:pPr>
              <w:jc w:val="center"/>
              <w:rPr>
                <w:b/>
                <w:color w:val="00B050"/>
              </w:rPr>
            </w:pPr>
            <w:r w:rsidRPr="003F3BF8">
              <w:rPr>
                <w:b/>
                <w:color w:val="00B050"/>
              </w:rPr>
              <w:t>A Level Results Day:</w:t>
            </w:r>
          </w:p>
          <w:p w:rsidR="003F3BF8" w:rsidRPr="003F3BF8" w:rsidRDefault="00BA1400" w:rsidP="00A4415F">
            <w:pPr>
              <w:jc w:val="center"/>
              <w:rPr>
                <w:b/>
                <w:color w:val="00B050"/>
              </w:rPr>
            </w:pPr>
            <w:r>
              <w:rPr>
                <w:b/>
                <w:color w:val="00B050"/>
              </w:rPr>
              <w:t>Thursday 16</w:t>
            </w:r>
            <w:r w:rsidR="003F3BF8" w:rsidRPr="003F3BF8">
              <w:rPr>
                <w:b/>
                <w:color w:val="00B050"/>
                <w:vertAlign w:val="superscript"/>
              </w:rPr>
              <w:t>th</w:t>
            </w:r>
            <w:r>
              <w:rPr>
                <w:b/>
                <w:color w:val="00B050"/>
              </w:rPr>
              <w:t xml:space="preserve"> August 2018</w:t>
            </w:r>
          </w:p>
          <w:p w:rsidR="003F3BF8" w:rsidRDefault="003F3BF8" w:rsidP="003F3BF8">
            <w:pPr>
              <w:jc w:val="center"/>
              <w:rPr>
                <w:b/>
                <w:color w:val="00B050"/>
              </w:rPr>
            </w:pPr>
          </w:p>
          <w:p w:rsidR="003F3BF8" w:rsidRPr="003F3BF8" w:rsidRDefault="003F3BF8" w:rsidP="003F3BF8">
            <w:pPr>
              <w:jc w:val="center"/>
              <w:rPr>
                <w:b/>
                <w:color w:val="00B050"/>
              </w:rPr>
            </w:pPr>
            <w:r w:rsidRPr="003F3BF8">
              <w:rPr>
                <w:b/>
                <w:color w:val="00B050"/>
              </w:rPr>
              <w:t>(when st</w:t>
            </w:r>
            <w:r>
              <w:rPr>
                <w:b/>
                <w:color w:val="00B050"/>
              </w:rPr>
              <w:t xml:space="preserve">udents </w:t>
            </w:r>
            <w:r w:rsidRPr="003F3BF8">
              <w:rPr>
                <w:b/>
                <w:color w:val="00B050"/>
              </w:rPr>
              <w:t xml:space="preserve">receive </w:t>
            </w:r>
            <w:r>
              <w:rPr>
                <w:b/>
                <w:color w:val="00B050"/>
              </w:rPr>
              <w:t xml:space="preserve">the </w:t>
            </w:r>
            <w:r w:rsidRPr="003F3BF8">
              <w:rPr>
                <w:b/>
                <w:color w:val="00B050"/>
              </w:rPr>
              <w:t>result of their exam unit)</w:t>
            </w:r>
          </w:p>
        </w:tc>
      </w:tr>
    </w:tbl>
    <w:p w:rsidR="00BA1400" w:rsidRDefault="00BA1400" w:rsidP="00BA1400">
      <w:pPr>
        <w:pStyle w:val="ListParagraph"/>
        <w:rPr>
          <w:b/>
          <w:u w:val="single"/>
        </w:rPr>
      </w:pPr>
    </w:p>
    <w:p w:rsidR="00F62CE4" w:rsidRDefault="00A4415F" w:rsidP="00F62CE4">
      <w:pPr>
        <w:pStyle w:val="ListParagraph"/>
        <w:numPr>
          <w:ilvl w:val="0"/>
          <w:numId w:val="1"/>
        </w:numPr>
        <w:rPr>
          <w:b/>
          <w:u w:val="single"/>
        </w:rPr>
      </w:pPr>
      <w:r w:rsidRPr="00A4415F">
        <w:rPr>
          <w:b/>
          <w:u w:val="single"/>
        </w:rPr>
        <w:t>When will students receive this</w:t>
      </w:r>
      <w:r w:rsidR="001848CF">
        <w:rPr>
          <w:b/>
          <w:u w:val="single"/>
        </w:rPr>
        <w:t xml:space="preserve"> final </w:t>
      </w:r>
      <w:r w:rsidR="00A73109">
        <w:rPr>
          <w:b/>
          <w:u w:val="single"/>
        </w:rPr>
        <w:t xml:space="preserve">End of </w:t>
      </w:r>
      <w:r w:rsidR="001848CF">
        <w:rPr>
          <w:b/>
          <w:u w:val="single"/>
        </w:rPr>
        <w:t xml:space="preserve">Year 12 </w:t>
      </w:r>
      <w:r w:rsidR="00A73109">
        <w:rPr>
          <w:b/>
          <w:u w:val="single"/>
        </w:rPr>
        <w:t>Result</w:t>
      </w:r>
      <w:r w:rsidRPr="00A4415F">
        <w:rPr>
          <w:b/>
          <w:u w:val="single"/>
        </w:rPr>
        <w:t>?</w:t>
      </w:r>
    </w:p>
    <w:p w:rsidR="003F3BF8" w:rsidRDefault="003F3BF8" w:rsidP="00726B8B">
      <w:r>
        <w:t>This is dependent on the type and mixture of courses your son/daughter is currently sitting.</w:t>
      </w:r>
    </w:p>
    <w:p w:rsidR="001848CF" w:rsidRPr="00726B8B" w:rsidRDefault="00726B8B" w:rsidP="00726B8B">
      <w:r>
        <w:t>Please see below for a timetable of events in the summer that will contribute to, or affect, when a student receives their final Year 12 Progress Report and next steps.</w:t>
      </w:r>
    </w:p>
    <w:tbl>
      <w:tblPr>
        <w:tblStyle w:val="TableGrid"/>
        <w:tblW w:w="0" w:type="auto"/>
        <w:tblLook w:val="04A0" w:firstRow="1" w:lastRow="0" w:firstColumn="1" w:lastColumn="0" w:noHBand="0" w:noVBand="1"/>
      </w:tblPr>
      <w:tblGrid>
        <w:gridCol w:w="2405"/>
        <w:gridCol w:w="8051"/>
      </w:tblGrid>
      <w:tr w:rsidR="00726B8B" w:rsidTr="001D3FA2">
        <w:tc>
          <w:tcPr>
            <w:tcW w:w="2405" w:type="dxa"/>
          </w:tcPr>
          <w:p w:rsidR="00726B8B" w:rsidRPr="00726B8B" w:rsidRDefault="00726B8B" w:rsidP="003F3BF8">
            <w:pPr>
              <w:jc w:val="center"/>
              <w:rPr>
                <w:b/>
                <w:u w:val="single"/>
              </w:rPr>
            </w:pPr>
            <w:r>
              <w:rPr>
                <w:b/>
                <w:u w:val="single"/>
              </w:rPr>
              <w:t>Dates</w:t>
            </w:r>
          </w:p>
        </w:tc>
        <w:tc>
          <w:tcPr>
            <w:tcW w:w="8051" w:type="dxa"/>
          </w:tcPr>
          <w:p w:rsidR="00726B8B" w:rsidRPr="00726B8B" w:rsidRDefault="00726B8B" w:rsidP="00726B8B">
            <w:pPr>
              <w:jc w:val="center"/>
              <w:rPr>
                <w:b/>
                <w:u w:val="single"/>
              </w:rPr>
            </w:pPr>
            <w:r>
              <w:rPr>
                <w:b/>
                <w:u w:val="single"/>
              </w:rPr>
              <w:t>Event</w:t>
            </w:r>
          </w:p>
        </w:tc>
      </w:tr>
      <w:tr w:rsidR="00726B8B" w:rsidTr="001D3FA2">
        <w:tc>
          <w:tcPr>
            <w:tcW w:w="2405" w:type="dxa"/>
          </w:tcPr>
          <w:p w:rsidR="006E5E98" w:rsidRDefault="006E5E98" w:rsidP="003F3BF8">
            <w:pPr>
              <w:jc w:val="center"/>
            </w:pPr>
          </w:p>
          <w:p w:rsidR="00726B8B" w:rsidRPr="00726B8B" w:rsidRDefault="0065001C" w:rsidP="0065001C">
            <w:pPr>
              <w:jc w:val="center"/>
            </w:pPr>
            <w:r>
              <w:t>1</w:t>
            </w:r>
            <w:r w:rsidRPr="0065001C">
              <w:rPr>
                <w:vertAlign w:val="superscript"/>
              </w:rPr>
              <w:t>st</w:t>
            </w:r>
            <w:r>
              <w:t xml:space="preserve"> </w:t>
            </w:r>
            <w:r w:rsidR="0022793D">
              <w:t xml:space="preserve">May – </w:t>
            </w:r>
            <w:r>
              <w:t>Monday 11</w:t>
            </w:r>
            <w:r w:rsidRPr="0065001C">
              <w:rPr>
                <w:vertAlign w:val="superscript"/>
              </w:rPr>
              <w:t>th</w:t>
            </w:r>
            <w:r>
              <w:t xml:space="preserve"> J</w:t>
            </w:r>
            <w:r w:rsidR="0022793D">
              <w:t>une 2018</w:t>
            </w:r>
          </w:p>
        </w:tc>
        <w:tc>
          <w:tcPr>
            <w:tcW w:w="8051" w:type="dxa"/>
          </w:tcPr>
          <w:p w:rsidR="006E5E98" w:rsidRPr="006E5E98" w:rsidRDefault="006E5E98" w:rsidP="0022793D">
            <w:pPr>
              <w:rPr>
                <w:b/>
                <w:color w:val="00B050"/>
              </w:rPr>
            </w:pPr>
            <w:r w:rsidRPr="006E5E98">
              <w:rPr>
                <w:b/>
                <w:color w:val="00B050"/>
              </w:rPr>
              <w:t>Year 12 Vocational External Examinations.</w:t>
            </w:r>
          </w:p>
          <w:p w:rsidR="00726B8B" w:rsidRPr="00726B8B" w:rsidRDefault="00726B8B" w:rsidP="0022793D">
            <w:r>
              <w:t>Year 12 s</w:t>
            </w:r>
            <w:r w:rsidR="001848CF">
              <w:t xml:space="preserve">tudents </w:t>
            </w:r>
            <w:r w:rsidR="0022793D">
              <w:t>sitting v</w:t>
            </w:r>
            <w:r w:rsidR="003F3BF8">
              <w:t xml:space="preserve">ocational courses </w:t>
            </w:r>
            <w:r>
              <w:t>will have formal externally marked</w:t>
            </w:r>
            <w:r w:rsidR="001848CF">
              <w:t xml:space="preserve"> exams in this period; these exams will be mark</w:t>
            </w:r>
            <w:r w:rsidR="003F3BF8">
              <w:t>ed and moderated by Exam Boards, with the results available on A Level Results Day (Thursday 1</w:t>
            </w:r>
            <w:r w:rsidR="0022793D">
              <w:t>6</w:t>
            </w:r>
            <w:r w:rsidR="003F3BF8" w:rsidRPr="003F3BF8">
              <w:rPr>
                <w:vertAlign w:val="superscript"/>
              </w:rPr>
              <w:t>th</w:t>
            </w:r>
            <w:r w:rsidR="003F3BF8">
              <w:t xml:space="preserve"> August 201</w:t>
            </w:r>
            <w:r w:rsidR="0022793D">
              <w:t>8</w:t>
            </w:r>
            <w:r w:rsidR="003F3BF8">
              <w:t>).</w:t>
            </w:r>
          </w:p>
        </w:tc>
      </w:tr>
      <w:tr w:rsidR="00726B8B" w:rsidTr="001D3FA2">
        <w:tc>
          <w:tcPr>
            <w:tcW w:w="2405" w:type="dxa"/>
          </w:tcPr>
          <w:p w:rsidR="006E5E98" w:rsidRDefault="006E5E98" w:rsidP="0022793D">
            <w:pPr>
              <w:jc w:val="center"/>
            </w:pPr>
          </w:p>
          <w:p w:rsidR="00726B8B" w:rsidRDefault="0022793D" w:rsidP="0022793D">
            <w:pPr>
              <w:jc w:val="center"/>
            </w:pPr>
            <w:r>
              <w:t>Monday 18</w:t>
            </w:r>
            <w:r w:rsidR="00726B8B" w:rsidRPr="00726B8B">
              <w:rPr>
                <w:vertAlign w:val="superscript"/>
              </w:rPr>
              <w:t>th</w:t>
            </w:r>
            <w:r w:rsidR="001848CF">
              <w:t xml:space="preserve"> June </w:t>
            </w:r>
            <w:r>
              <w:t>– Friday 29</w:t>
            </w:r>
            <w:r w:rsidRPr="0022793D">
              <w:rPr>
                <w:vertAlign w:val="superscript"/>
              </w:rPr>
              <w:t>th</w:t>
            </w:r>
            <w:r>
              <w:t xml:space="preserve"> June 2018</w:t>
            </w:r>
          </w:p>
          <w:p w:rsidR="006E5E98" w:rsidRPr="00726B8B" w:rsidRDefault="006E5E98" w:rsidP="0022793D">
            <w:pPr>
              <w:jc w:val="center"/>
            </w:pPr>
          </w:p>
        </w:tc>
        <w:tc>
          <w:tcPr>
            <w:tcW w:w="8051" w:type="dxa"/>
          </w:tcPr>
          <w:p w:rsidR="006E5E98" w:rsidRPr="006E5E98" w:rsidRDefault="006E5E98" w:rsidP="0022793D">
            <w:pPr>
              <w:rPr>
                <w:b/>
                <w:color w:val="0070C0"/>
              </w:rPr>
            </w:pPr>
            <w:r w:rsidRPr="006E5E98">
              <w:rPr>
                <w:b/>
                <w:color w:val="0070C0"/>
              </w:rPr>
              <w:t>Year 12 A Level Internal Assessment Fortnight.</w:t>
            </w:r>
          </w:p>
          <w:p w:rsidR="00726B8B" w:rsidRPr="00726B8B" w:rsidRDefault="00726B8B" w:rsidP="0022793D">
            <w:r>
              <w:t xml:space="preserve">Year 12 students sitting </w:t>
            </w:r>
            <w:r w:rsidR="0022793D">
              <w:t xml:space="preserve">A Level courses </w:t>
            </w:r>
            <w:r>
              <w:t xml:space="preserve">will have a </w:t>
            </w:r>
            <w:r w:rsidR="001848CF">
              <w:t xml:space="preserve">final </w:t>
            </w:r>
            <w:r>
              <w:t xml:space="preserve">formal </w:t>
            </w:r>
            <w:r w:rsidR="001848CF">
              <w:t xml:space="preserve">internal </w:t>
            </w:r>
            <w:r w:rsidR="0022793D">
              <w:t>assessment fortnight</w:t>
            </w:r>
            <w:r>
              <w:t xml:space="preserve">; these exams </w:t>
            </w:r>
            <w:proofErr w:type="gramStart"/>
            <w:r>
              <w:t xml:space="preserve">will be </w:t>
            </w:r>
            <w:r w:rsidR="003F3BF8">
              <w:t>marked and moderated by course staff</w:t>
            </w:r>
            <w:proofErr w:type="gramEnd"/>
            <w:r w:rsidR="003F3BF8">
              <w:t>.</w:t>
            </w:r>
          </w:p>
        </w:tc>
      </w:tr>
      <w:tr w:rsidR="003F3BF8" w:rsidTr="001D3FA2">
        <w:tc>
          <w:tcPr>
            <w:tcW w:w="2405" w:type="dxa"/>
          </w:tcPr>
          <w:p w:rsidR="003F3BF8" w:rsidRDefault="003F3BF8" w:rsidP="003F3BF8">
            <w:pPr>
              <w:jc w:val="center"/>
            </w:pPr>
          </w:p>
          <w:p w:rsidR="003F3BF8" w:rsidRDefault="003F3BF8" w:rsidP="003F3BF8">
            <w:pPr>
              <w:jc w:val="center"/>
            </w:pPr>
          </w:p>
          <w:p w:rsidR="003F3BF8" w:rsidRDefault="003F3BF8" w:rsidP="003F3BF8">
            <w:pPr>
              <w:jc w:val="center"/>
            </w:pPr>
          </w:p>
          <w:p w:rsidR="003F3BF8" w:rsidRDefault="003F3BF8" w:rsidP="003F3BF8">
            <w:pPr>
              <w:jc w:val="center"/>
            </w:pPr>
          </w:p>
          <w:p w:rsidR="003F3BF8" w:rsidRDefault="003F3BF8" w:rsidP="003F3BF8">
            <w:pPr>
              <w:jc w:val="center"/>
            </w:pPr>
          </w:p>
          <w:p w:rsidR="003F3BF8" w:rsidRPr="00A428E3" w:rsidRDefault="0022793D" w:rsidP="003F3BF8">
            <w:pPr>
              <w:jc w:val="center"/>
              <w:rPr>
                <w:b/>
              </w:rPr>
            </w:pPr>
            <w:r>
              <w:rPr>
                <w:b/>
                <w:color w:val="0070C0"/>
              </w:rPr>
              <w:t>Friday 13</w:t>
            </w:r>
            <w:r w:rsidR="003F3BF8" w:rsidRPr="003F3BF8">
              <w:rPr>
                <w:b/>
                <w:color w:val="0070C0"/>
                <w:vertAlign w:val="superscript"/>
              </w:rPr>
              <w:t>th</w:t>
            </w:r>
            <w:r>
              <w:rPr>
                <w:b/>
                <w:color w:val="0070C0"/>
              </w:rPr>
              <w:t xml:space="preserve"> July 2018</w:t>
            </w:r>
          </w:p>
        </w:tc>
        <w:tc>
          <w:tcPr>
            <w:tcW w:w="8051" w:type="dxa"/>
          </w:tcPr>
          <w:p w:rsidR="003F3BF8" w:rsidRDefault="006E5E98" w:rsidP="003F3BF8">
            <w:pPr>
              <w:rPr>
                <w:b/>
                <w:color w:val="0070C0"/>
              </w:rPr>
            </w:pPr>
            <w:r>
              <w:rPr>
                <w:b/>
                <w:color w:val="0070C0"/>
              </w:rPr>
              <w:t xml:space="preserve">Year 12 Internal Results Day: </w:t>
            </w:r>
            <w:r w:rsidR="003F3BF8" w:rsidRPr="003F3BF8">
              <w:rPr>
                <w:b/>
                <w:color w:val="0070C0"/>
              </w:rPr>
              <w:t xml:space="preserve">Students who sat </w:t>
            </w:r>
            <w:r w:rsidR="0022793D">
              <w:rPr>
                <w:b/>
                <w:color w:val="0070C0"/>
              </w:rPr>
              <w:t>A Level assessments</w:t>
            </w:r>
            <w:r w:rsidR="003F3BF8" w:rsidRPr="003F3BF8">
              <w:rPr>
                <w:b/>
                <w:color w:val="0070C0"/>
              </w:rPr>
              <w:t xml:space="preserve"> will receive the results of their Year 12 Formal Assessment Week. </w:t>
            </w:r>
          </w:p>
          <w:p w:rsidR="006E5E98" w:rsidRPr="003F3BF8" w:rsidRDefault="006E5E98" w:rsidP="003F3BF8">
            <w:pPr>
              <w:rPr>
                <w:b/>
                <w:color w:val="0070C0"/>
              </w:rPr>
            </w:pPr>
          </w:p>
          <w:p w:rsidR="003F3BF8" w:rsidRDefault="003F3BF8" w:rsidP="003F3BF8">
            <w:r w:rsidRPr="006E5E98">
              <w:rPr>
                <w:b/>
              </w:rPr>
              <w:t>9am</w:t>
            </w:r>
            <w:r w:rsidR="006E5E98">
              <w:rPr>
                <w:b/>
              </w:rPr>
              <w:t xml:space="preserve"> – 12pm</w:t>
            </w:r>
            <w:r>
              <w:t xml:space="preserve">: All students must arrive in College to receive their </w:t>
            </w:r>
            <w:r w:rsidR="006E5E98">
              <w:t>results.</w:t>
            </w:r>
          </w:p>
          <w:p w:rsidR="003F3BF8" w:rsidRDefault="003F3BF8" w:rsidP="003F3BF8"/>
          <w:p w:rsidR="006E5E98" w:rsidRDefault="003F3BF8" w:rsidP="006E5E98">
            <w:pPr>
              <w:pStyle w:val="ListParagraph"/>
              <w:numPr>
                <w:ilvl w:val="0"/>
                <w:numId w:val="10"/>
              </w:numPr>
            </w:pPr>
            <w:r w:rsidRPr="006E5E98">
              <w:rPr>
                <w:b/>
              </w:rPr>
              <w:t xml:space="preserve">If students have met all the </w:t>
            </w:r>
            <w:r w:rsidR="0022793D" w:rsidRPr="006E5E98">
              <w:rPr>
                <w:b/>
              </w:rPr>
              <w:t>automatic re-enrolment</w:t>
            </w:r>
            <w:r w:rsidRPr="006E5E98">
              <w:rPr>
                <w:b/>
              </w:rPr>
              <w:t xml:space="preserve"> requirements</w:t>
            </w:r>
            <w:r>
              <w:t xml:space="preserve"> for Year 13, they will automatically begin to be able to enrol </w:t>
            </w:r>
            <w:r w:rsidR="0022793D">
              <w:t>online.</w:t>
            </w:r>
          </w:p>
          <w:p w:rsidR="003F3BF8" w:rsidRDefault="003F3BF8" w:rsidP="006E5E98">
            <w:pPr>
              <w:pStyle w:val="ListParagraph"/>
              <w:numPr>
                <w:ilvl w:val="0"/>
                <w:numId w:val="10"/>
              </w:numPr>
            </w:pPr>
            <w:r w:rsidRPr="006E5E98">
              <w:rPr>
                <w:b/>
              </w:rPr>
              <w:t xml:space="preserve">If students have not met the </w:t>
            </w:r>
            <w:r w:rsidR="0022793D" w:rsidRPr="006E5E98">
              <w:rPr>
                <w:b/>
              </w:rPr>
              <w:t>automatic re-enrolment r</w:t>
            </w:r>
            <w:r w:rsidRPr="006E5E98">
              <w:rPr>
                <w:b/>
              </w:rPr>
              <w:t>equirements</w:t>
            </w:r>
            <w:r>
              <w:t xml:space="preserve"> for Year 13, they will need to sign up to a meeting with a member of</w:t>
            </w:r>
            <w:r w:rsidR="0022793D">
              <w:t xml:space="preserve"> the College Leadership Team </w:t>
            </w:r>
            <w:proofErr w:type="gramStart"/>
            <w:r w:rsidR="0022793D">
              <w:t>between Friday 13</w:t>
            </w:r>
            <w:r w:rsidR="0022793D" w:rsidRPr="006E5E98">
              <w:rPr>
                <w:vertAlign w:val="superscript"/>
              </w:rPr>
              <w:t>th</w:t>
            </w:r>
            <w:r w:rsidR="0022793D">
              <w:t xml:space="preserve"> July – Tuesday 24</w:t>
            </w:r>
            <w:r w:rsidR="0022793D" w:rsidRPr="006E5E98">
              <w:rPr>
                <w:vertAlign w:val="superscript"/>
              </w:rPr>
              <w:t>th</w:t>
            </w:r>
            <w:r w:rsidR="0022793D">
              <w:t xml:space="preserve"> July 2018</w:t>
            </w:r>
            <w:proofErr w:type="gramEnd"/>
            <w:r w:rsidR="0022793D">
              <w:t>.</w:t>
            </w:r>
          </w:p>
          <w:p w:rsidR="003F3BF8" w:rsidRDefault="003F3BF8" w:rsidP="006E5E98">
            <w:pPr>
              <w:pStyle w:val="ListParagraph"/>
              <w:numPr>
                <w:ilvl w:val="0"/>
                <w:numId w:val="10"/>
              </w:numPr>
            </w:pPr>
            <w:r w:rsidRPr="006E5E98">
              <w:rPr>
                <w:b/>
              </w:rPr>
              <w:t>If students do not yet have the results for all three course</w:t>
            </w:r>
            <w:r w:rsidR="0022793D" w:rsidRPr="006E5E98">
              <w:rPr>
                <w:b/>
              </w:rPr>
              <w:t>s</w:t>
            </w:r>
            <w:r w:rsidR="0022793D">
              <w:t xml:space="preserve"> (because they are sitting a vocational courses</w:t>
            </w:r>
            <w:r>
              <w:t>), they will need to wait until A Level Results Day.</w:t>
            </w:r>
          </w:p>
          <w:p w:rsidR="006E5E98" w:rsidRPr="00726B8B" w:rsidRDefault="006E5E98" w:rsidP="006E5E98">
            <w:pPr>
              <w:pStyle w:val="ListParagraph"/>
            </w:pPr>
          </w:p>
        </w:tc>
      </w:tr>
      <w:tr w:rsidR="003F3BF8" w:rsidTr="001D3FA2">
        <w:tc>
          <w:tcPr>
            <w:tcW w:w="2405" w:type="dxa"/>
          </w:tcPr>
          <w:p w:rsidR="003F3BF8" w:rsidRPr="00726B8B" w:rsidRDefault="0022793D" w:rsidP="0022793D">
            <w:pPr>
              <w:jc w:val="center"/>
            </w:pPr>
            <w:r>
              <w:t>Monday 16</w:t>
            </w:r>
            <w:r w:rsidR="003F3BF8" w:rsidRPr="00726B8B">
              <w:rPr>
                <w:vertAlign w:val="superscript"/>
              </w:rPr>
              <w:t>th</w:t>
            </w:r>
            <w:r>
              <w:t xml:space="preserve"> July – Friday 20</w:t>
            </w:r>
            <w:r w:rsidRPr="0022793D">
              <w:rPr>
                <w:vertAlign w:val="superscript"/>
              </w:rPr>
              <w:t>th</w:t>
            </w:r>
            <w:r>
              <w:t xml:space="preserve"> July 2018</w:t>
            </w:r>
          </w:p>
        </w:tc>
        <w:tc>
          <w:tcPr>
            <w:tcW w:w="8051" w:type="dxa"/>
          </w:tcPr>
          <w:p w:rsidR="003F3BF8" w:rsidRDefault="003F3BF8" w:rsidP="003F3BF8">
            <w:r w:rsidRPr="006E5E98">
              <w:rPr>
                <w:b/>
              </w:rPr>
              <w:t xml:space="preserve">Year 12 </w:t>
            </w:r>
            <w:r w:rsidR="006E5E98" w:rsidRPr="006E5E98">
              <w:rPr>
                <w:b/>
              </w:rPr>
              <w:t>Work Experience week:</w:t>
            </w:r>
            <w:r w:rsidR="006E5E98">
              <w:t xml:space="preserve"> All students on </w:t>
            </w:r>
            <w:r>
              <w:t>compulsory work experience.</w:t>
            </w:r>
          </w:p>
          <w:p w:rsidR="0022793D" w:rsidRDefault="0022793D" w:rsidP="0022793D">
            <w:r>
              <w:t>8.30am – 3.30pm: Meetings available with College Leadership Team each day.</w:t>
            </w:r>
          </w:p>
          <w:p w:rsidR="006E5E98" w:rsidRPr="00726B8B" w:rsidRDefault="006E5E98" w:rsidP="0022793D"/>
        </w:tc>
      </w:tr>
      <w:tr w:rsidR="006E5E98" w:rsidTr="006E5E98">
        <w:trPr>
          <w:trHeight w:val="694"/>
        </w:trPr>
        <w:tc>
          <w:tcPr>
            <w:tcW w:w="2405" w:type="dxa"/>
          </w:tcPr>
          <w:p w:rsidR="006E5E98" w:rsidRDefault="006E5E98" w:rsidP="006E5E98">
            <w:pPr>
              <w:jc w:val="center"/>
            </w:pPr>
            <w:r>
              <w:t>Monday 23</w:t>
            </w:r>
            <w:r w:rsidRPr="0022793D">
              <w:rPr>
                <w:vertAlign w:val="superscript"/>
              </w:rPr>
              <w:t>rd</w:t>
            </w:r>
            <w:r>
              <w:t xml:space="preserve"> July 2018 – Tuesday 24</w:t>
            </w:r>
            <w:r w:rsidRPr="006E5E98">
              <w:rPr>
                <w:vertAlign w:val="superscript"/>
              </w:rPr>
              <w:t>th</w:t>
            </w:r>
            <w:r>
              <w:t xml:space="preserve"> July 2018</w:t>
            </w:r>
          </w:p>
        </w:tc>
        <w:tc>
          <w:tcPr>
            <w:tcW w:w="8051" w:type="dxa"/>
          </w:tcPr>
          <w:p w:rsidR="006E5E98" w:rsidRPr="006E5E98" w:rsidRDefault="006E5E98" w:rsidP="0022793D">
            <w:pPr>
              <w:rPr>
                <w:b/>
              </w:rPr>
            </w:pPr>
            <w:r w:rsidRPr="006E5E98">
              <w:rPr>
                <w:b/>
              </w:rPr>
              <w:t>Last two days of summer term.</w:t>
            </w:r>
          </w:p>
          <w:p w:rsidR="006E5E98" w:rsidRDefault="006E5E98" w:rsidP="0022793D">
            <w:r>
              <w:t>8.30am – 3.30pm: Meetings available with College Leadership Team each day.</w:t>
            </w:r>
          </w:p>
        </w:tc>
      </w:tr>
      <w:tr w:rsidR="003F3BF8" w:rsidTr="001D3FA2">
        <w:tc>
          <w:tcPr>
            <w:tcW w:w="2405" w:type="dxa"/>
          </w:tcPr>
          <w:p w:rsidR="003F3BF8" w:rsidRDefault="003F3BF8" w:rsidP="003F3BF8">
            <w:pPr>
              <w:jc w:val="center"/>
            </w:pPr>
          </w:p>
          <w:p w:rsidR="003F3BF8" w:rsidRDefault="003F3BF8" w:rsidP="003F3BF8">
            <w:pPr>
              <w:jc w:val="center"/>
            </w:pPr>
          </w:p>
          <w:p w:rsidR="003F3BF8" w:rsidRDefault="003F3BF8" w:rsidP="003F3BF8">
            <w:pPr>
              <w:jc w:val="center"/>
            </w:pPr>
          </w:p>
          <w:p w:rsidR="003F3BF8" w:rsidRDefault="003F3BF8" w:rsidP="003F3BF8">
            <w:pPr>
              <w:jc w:val="center"/>
            </w:pPr>
          </w:p>
          <w:p w:rsidR="003F3BF8" w:rsidRDefault="003F3BF8" w:rsidP="003F3BF8">
            <w:pPr>
              <w:jc w:val="center"/>
            </w:pPr>
          </w:p>
          <w:p w:rsidR="003F3BF8" w:rsidRPr="003F3BF8" w:rsidRDefault="0022793D" w:rsidP="003F3BF8">
            <w:pPr>
              <w:jc w:val="center"/>
              <w:rPr>
                <w:b/>
              </w:rPr>
            </w:pPr>
            <w:r w:rsidRPr="006E5E98">
              <w:rPr>
                <w:b/>
                <w:color w:val="00B050"/>
              </w:rPr>
              <w:t>Thursday 16</w:t>
            </w:r>
            <w:r w:rsidR="003F3BF8" w:rsidRPr="006E5E98">
              <w:rPr>
                <w:b/>
                <w:color w:val="00B050"/>
                <w:vertAlign w:val="superscript"/>
              </w:rPr>
              <w:t>th</w:t>
            </w:r>
            <w:r w:rsidRPr="006E5E98">
              <w:rPr>
                <w:b/>
                <w:color w:val="00B050"/>
              </w:rPr>
              <w:t xml:space="preserve"> August 2018</w:t>
            </w:r>
          </w:p>
        </w:tc>
        <w:tc>
          <w:tcPr>
            <w:tcW w:w="8051" w:type="dxa"/>
          </w:tcPr>
          <w:p w:rsidR="003F3BF8" w:rsidRDefault="006E5E98" w:rsidP="003F3BF8">
            <w:pPr>
              <w:rPr>
                <w:b/>
                <w:color w:val="00B050"/>
              </w:rPr>
            </w:pPr>
            <w:r>
              <w:rPr>
                <w:b/>
                <w:color w:val="00B050"/>
              </w:rPr>
              <w:t xml:space="preserve">A Level Results Day: </w:t>
            </w:r>
            <w:r w:rsidR="003F3BF8" w:rsidRPr="006E5E98">
              <w:rPr>
                <w:b/>
                <w:color w:val="00B050"/>
              </w:rPr>
              <w:t xml:space="preserve">Students who sat ‘Vocational’ courses will receive any </w:t>
            </w:r>
            <w:proofErr w:type="gramStart"/>
            <w:r w:rsidR="003F3BF8" w:rsidRPr="006E5E98">
              <w:rPr>
                <w:b/>
                <w:color w:val="00B050"/>
              </w:rPr>
              <w:t>final results</w:t>
            </w:r>
            <w:proofErr w:type="gramEnd"/>
            <w:r w:rsidR="003F3BF8" w:rsidRPr="006E5E98">
              <w:rPr>
                <w:b/>
                <w:color w:val="00B050"/>
              </w:rPr>
              <w:t xml:space="preserve"> on this day.</w:t>
            </w:r>
          </w:p>
          <w:p w:rsidR="006E5E98" w:rsidRPr="006E5E98" w:rsidRDefault="006E5E98" w:rsidP="003F3BF8">
            <w:pPr>
              <w:rPr>
                <w:b/>
                <w:color w:val="00B050"/>
              </w:rPr>
            </w:pPr>
          </w:p>
          <w:p w:rsidR="003F3BF8" w:rsidRDefault="003F3BF8" w:rsidP="003F3BF8">
            <w:r w:rsidRPr="006E5E98">
              <w:rPr>
                <w:b/>
              </w:rPr>
              <w:t>9am</w:t>
            </w:r>
            <w:r w:rsidR="006E5E98" w:rsidRPr="006E5E98">
              <w:rPr>
                <w:b/>
              </w:rPr>
              <w:t>- 12pm</w:t>
            </w:r>
            <w:r>
              <w:t>: Relevant students must arrive in</w:t>
            </w:r>
            <w:r w:rsidR="0022793D">
              <w:t xml:space="preserve"> school to receive their </w:t>
            </w:r>
            <w:r>
              <w:t>results.</w:t>
            </w:r>
          </w:p>
          <w:p w:rsidR="003F3BF8" w:rsidRDefault="003F3BF8" w:rsidP="003F3BF8"/>
          <w:p w:rsidR="006E5E98" w:rsidRDefault="006E5E98" w:rsidP="006E5E98">
            <w:pPr>
              <w:pStyle w:val="ListParagraph"/>
              <w:numPr>
                <w:ilvl w:val="0"/>
                <w:numId w:val="11"/>
              </w:numPr>
            </w:pPr>
            <w:r w:rsidRPr="006E5E98">
              <w:rPr>
                <w:b/>
              </w:rPr>
              <w:t>If students have met all the automatic re-enrolment requirements</w:t>
            </w:r>
            <w:r>
              <w:t xml:space="preserve"> for Year 13, they will automatically begin to be able to enrol online.</w:t>
            </w:r>
          </w:p>
          <w:p w:rsidR="006E5E98" w:rsidRDefault="006E5E98" w:rsidP="006E5E98">
            <w:pPr>
              <w:pStyle w:val="ListParagraph"/>
              <w:numPr>
                <w:ilvl w:val="0"/>
                <w:numId w:val="11"/>
              </w:numPr>
            </w:pPr>
            <w:r w:rsidRPr="006E5E98">
              <w:rPr>
                <w:b/>
              </w:rPr>
              <w:t>If students have not met the automatic re-enrolment requirements</w:t>
            </w:r>
            <w:r>
              <w:t xml:space="preserve"> for Year 13, they will need to sign up to a meeting with a member of the College Leadership Team between Thursday 16</w:t>
            </w:r>
            <w:r w:rsidRPr="006E5E98">
              <w:rPr>
                <w:vertAlign w:val="superscript"/>
              </w:rPr>
              <w:t>th</w:t>
            </w:r>
            <w:r>
              <w:t xml:space="preserve"> August – Thursday 30</w:t>
            </w:r>
            <w:r w:rsidRPr="006E5E98">
              <w:rPr>
                <w:vertAlign w:val="superscript"/>
              </w:rPr>
              <w:t>th</w:t>
            </w:r>
            <w:r>
              <w:t xml:space="preserve"> August 2018 as per below.</w:t>
            </w:r>
          </w:p>
          <w:p w:rsidR="003F3BF8" w:rsidRDefault="003F3BF8" w:rsidP="006E5E98"/>
        </w:tc>
      </w:tr>
      <w:tr w:rsidR="006E5E98" w:rsidTr="001D3FA2">
        <w:tc>
          <w:tcPr>
            <w:tcW w:w="2405" w:type="dxa"/>
          </w:tcPr>
          <w:p w:rsidR="006E5E98" w:rsidRPr="006E5E98" w:rsidRDefault="006E5E98" w:rsidP="0022793D">
            <w:pPr>
              <w:jc w:val="center"/>
              <w:rPr>
                <w:color w:val="000000" w:themeColor="text1"/>
              </w:rPr>
            </w:pPr>
            <w:r>
              <w:rPr>
                <w:color w:val="000000" w:themeColor="text1"/>
              </w:rPr>
              <w:t>Thursday 16</w:t>
            </w:r>
            <w:r w:rsidRPr="006E5E98">
              <w:rPr>
                <w:color w:val="000000" w:themeColor="text1"/>
                <w:vertAlign w:val="superscript"/>
              </w:rPr>
              <w:t>th</w:t>
            </w:r>
            <w:r>
              <w:rPr>
                <w:color w:val="000000" w:themeColor="text1"/>
              </w:rPr>
              <w:t xml:space="preserve"> - </w:t>
            </w:r>
            <w:r w:rsidRPr="006E5E98">
              <w:rPr>
                <w:color w:val="000000" w:themeColor="text1"/>
              </w:rPr>
              <w:t>Friday 17</w:t>
            </w:r>
            <w:r w:rsidRPr="006E5E98">
              <w:rPr>
                <w:color w:val="000000" w:themeColor="text1"/>
                <w:vertAlign w:val="superscript"/>
              </w:rPr>
              <w:t>th</w:t>
            </w:r>
            <w:r w:rsidRPr="006E5E98">
              <w:rPr>
                <w:color w:val="000000" w:themeColor="text1"/>
              </w:rPr>
              <w:t xml:space="preserve"> August 2018</w:t>
            </w:r>
          </w:p>
        </w:tc>
        <w:tc>
          <w:tcPr>
            <w:tcW w:w="8051" w:type="dxa"/>
          </w:tcPr>
          <w:p w:rsidR="006E5E98" w:rsidRPr="006E5E98" w:rsidRDefault="006E5E98" w:rsidP="003F3BF8">
            <w:pPr>
              <w:rPr>
                <w:color w:val="000000" w:themeColor="text1"/>
              </w:rPr>
            </w:pPr>
            <w:r w:rsidRPr="006E5E98">
              <w:rPr>
                <w:color w:val="000000" w:themeColor="text1"/>
              </w:rPr>
              <w:t>8.30am – 3.30pm: Meetings availab</w:t>
            </w:r>
            <w:r>
              <w:rPr>
                <w:color w:val="000000" w:themeColor="text1"/>
              </w:rPr>
              <w:t>le with College Leadership Team each day.</w:t>
            </w:r>
          </w:p>
        </w:tc>
      </w:tr>
      <w:tr w:rsidR="0022793D" w:rsidTr="001D3FA2">
        <w:tc>
          <w:tcPr>
            <w:tcW w:w="2405" w:type="dxa"/>
          </w:tcPr>
          <w:p w:rsidR="0022793D" w:rsidRPr="006E5E98" w:rsidRDefault="0022793D" w:rsidP="006E5E98">
            <w:pPr>
              <w:jc w:val="center"/>
              <w:rPr>
                <w:b/>
                <w:color w:val="000000" w:themeColor="text1"/>
              </w:rPr>
            </w:pPr>
            <w:r w:rsidRPr="006E5E98">
              <w:rPr>
                <w:b/>
                <w:color w:val="000000" w:themeColor="text1"/>
              </w:rPr>
              <w:t>Monday 20</w:t>
            </w:r>
            <w:r w:rsidRPr="006E5E98">
              <w:rPr>
                <w:b/>
                <w:color w:val="000000" w:themeColor="text1"/>
                <w:vertAlign w:val="superscript"/>
              </w:rPr>
              <w:t>th</w:t>
            </w:r>
            <w:r w:rsidR="00BB723C">
              <w:rPr>
                <w:b/>
                <w:color w:val="000000" w:themeColor="text1"/>
              </w:rPr>
              <w:t xml:space="preserve"> – Monday 27</w:t>
            </w:r>
            <w:r w:rsidRPr="006E5E98">
              <w:rPr>
                <w:b/>
                <w:color w:val="000000" w:themeColor="text1"/>
                <w:vertAlign w:val="superscript"/>
              </w:rPr>
              <w:t>th</w:t>
            </w:r>
            <w:r w:rsidRPr="006E5E98">
              <w:rPr>
                <w:b/>
                <w:color w:val="000000" w:themeColor="text1"/>
              </w:rPr>
              <w:t xml:space="preserve"> August 2018</w:t>
            </w:r>
          </w:p>
        </w:tc>
        <w:tc>
          <w:tcPr>
            <w:tcW w:w="8051" w:type="dxa"/>
          </w:tcPr>
          <w:p w:rsidR="0022793D" w:rsidRPr="006E5E98" w:rsidRDefault="0022793D" w:rsidP="006E5E98">
            <w:pPr>
              <w:jc w:val="center"/>
              <w:rPr>
                <w:b/>
                <w:color w:val="000000" w:themeColor="text1"/>
              </w:rPr>
            </w:pPr>
            <w:r w:rsidRPr="006E5E98">
              <w:rPr>
                <w:b/>
                <w:color w:val="000000" w:themeColor="text1"/>
              </w:rPr>
              <w:t>College cl</w:t>
            </w:r>
            <w:r w:rsidR="006E5E98" w:rsidRPr="006E5E98">
              <w:rPr>
                <w:b/>
                <w:color w:val="000000" w:themeColor="text1"/>
              </w:rPr>
              <w:t>osed for summer holidays: No meetings available on these days.</w:t>
            </w:r>
          </w:p>
        </w:tc>
      </w:tr>
      <w:tr w:rsidR="003F3BF8" w:rsidTr="001D3FA2">
        <w:tc>
          <w:tcPr>
            <w:tcW w:w="2405" w:type="dxa"/>
          </w:tcPr>
          <w:p w:rsidR="003F3BF8" w:rsidRDefault="0022793D" w:rsidP="006E5E98">
            <w:pPr>
              <w:jc w:val="center"/>
            </w:pPr>
            <w:r>
              <w:t>Tuesday 28</w:t>
            </w:r>
            <w:r w:rsidRPr="0022793D">
              <w:rPr>
                <w:vertAlign w:val="superscript"/>
              </w:rPr>
              <w:t>th</w:t>
            </w:r>
            <w:r>
              <w:t xml:space="preserve"> – </w:t>
            </w:r>
            <w:r w:rsidR="009E23D4">
              <w:t>Wed</w:t>
            </w:r>
            <w:r w:rsidR="006E5E98">
              <w:t xml:space="preserve"> 29</w:t>
            </w:r>
            <w:r w:rsidR="006E5E98" w:rsidRPr="006E5E98">
              <w:rPr>
                <w:vertAlign w:val="superscript"/>
              </w:rPr>
              <w:t>th</w:t>
            </w:r>
            <w:r w:rsidR="006E5E98">
              <w:t xml:space="preserve"> August</w:t>
            </w:r>
            <w:r>
              <w:t xml:space="preserve"> 2018</w:t>
            </w:r>
          </w:p>
        </w:tc>
        <w:tc>
          <w:tcPr>
            <w:tcW w:w="8051" w:type="dxa"/>
          </w:tcPr>
          <w:p w:rsidR="003F3BF8" w:rsidRDefault="003F3BF8" w:rsidP="009E23D4">
            <w:r>
              <w:t xml:space="preserve">8.30am – 3.30pm: Meetings </w:t>
            </w:r>
            <w:r w:rsidR="009E23D4">
              <w:t>available with College Leadership Team each day.</w:t>
            </w:r>
          </w:p>
        </w:tc>
      </w:tr>
      <w:tr w:rsidR="006E5E98" w:rsidTr="001D3FA2">
        <w:tc>
          <w:tcPr>
            <w:tcW w:w="2405" w:type="dxa"/>
          </w:tcPr>
          <w:p w:rsidR="006E5E98" w:rsidRDefault="006E5E98" w:rsidP="006E5E98">
            <w:pPr>
              <w:jc w:val="center"/>
            </w:pPr>
            <w:r>
              <w:t>Thursday 30</w:t>
            </w:r>
            <w:r w:rsidRPr="006E5E98">
              <w:rPr>
                <w:vertAlign w:val="superscript"/>
              </w:rPr>
              <w:t>th</w:t>
            </w:r>
            <w:r>
              <w:t xml:space="preserve"> August 2018</w:t>
            </w:r>
          </w:p>
        </w:tc>
        <w:tc>
          <w:tcPr>
            <w:tcW w:w="8051" w:type="dxa"/>
          </w:tcPr>
          <w:p w:rsidR="006E5E98" w:rsidRDefault="006E5E98" w:rsidP="009E23D4">
            <w:r>
              <w:t xml:space="preserve">Year 12 to Year 13 Re-enrolment </w:t>
            </w:r>
            <w:r w:rsidR="009E23D4">
              <w:t>deadline.</w:t>
            </w:r>
          </w:p>
        </w:tc>
      </w:tr>
      <w:tr w:rsidR="006E5E98" w:rsidTr="001D3FA2">
        <w:tc>
          <w:tcPr>
            <w:tcW w:w="2405" w:type="dxa"/>
          </w:tcPr>
          <w:p w:rsidR="006E5E98" w:rsidRDefault="006E5E98" w:rsidP="003F3BF8">
            <w:pPr>
              <w:jc w:val="center"/>
            </w:pPr>
            <w:r>
              <w:t>Monday 3</w:t>
            </w:r>
            <w:r w:rsidRPr="006E5E98">
              <w:rPr>
                <w:vertAlign w:val="superscript"/>
              </w:rPr>
              <w:t>rd</w:t>
            </w:r>
            <w:r>
              <w:t xml:space="preserve"> September 2018</w:t>
            </w:r>
          </w:p>
        </w:tc>
        <w:tc>
          <w:tcPr>
            <w:tcW w:w="8051" w:type="dxa"/>
          </w:tcPr>
          <w:p w:rsidR="006E5E98" w:rsidRDefault="006E5E98" w:rsidP="003F3BF8">
            <w:r>
              <w:t>First day of Autumn Term 2018</w:t>
            </w:r>
          </w:p>
        </w:tc>
      </w:tr>
    </w:tbl>
    <w:p w:rsidR="00A4415F" w:rsidRDefault="00A4415F" w:rsidP="00A4415F">
      <w:pPr>
        <w:rPr>
          <w:highlight w:val="yellow"/>
        </w:rPr>
      </w:pPr>
    </w:p>
    <w:p w:rsidR="001B726F" w:rsidRPr="00F62CE4" w:rsidRDefault="00F62CE4" w:rsidP="00F62CE4">
      <w:pPr>
        <w:pStyle w:val="ListParagraph"/>
        <w:numPr>
          <w:ilvl w:val="0"/>
          <w:numId w:val="1"/>
        </w:numPr>
        <w:rPr>
          <w:b/>
          <w:u w:val="single"/>
        </w:rPr>
      </w:pPr>
      <w:r>
        <w:rPr>
          <w:b/>
          <w:u w:val="single"/>
        </w:rPr>
        <w:t>What are the progress</w:t>
      </w:r>
      <w:r w:rsidR="00FA1D2D">
        <w:rPr>
          <w:b/>
          <w:u w:val="single"/>
        </w:rPr>
        <w:t xml:space="preserve"> requirements</w:t>
      </w:r>
      <w:r w:rsidR="001B726F" w:rsidRPr="00F62CE4">
        <w:rPr>
          <w:b/>
          <w:u w:val="single"/>
        </w:rPr>
        <w:t xml:space="preserve"> </w:t>
      </w:r>
      <w:r>
        <w:rPr>
          <w:b/>
          <w:u w:val="single"/>
        </w:rPr>
        <w:t xml:space="preserve">for student </w:t>
      </w:r>
      <w:r w:rsidR="00FA1D2D">
        <w:rPr>
          <w:b/>
          <w:u w:val="single"/>
        </w:rPr>
        <w:t>re-enrolment to Year 13 for A-Level courses?</w:t>
      </w:r>
    </w:p>
    <w:p w:rsidR="001B726F" w:rsidRDefault="001B726F" w:rsidP="001B726F">
      <w:pPr>
        <w:rPr>
          <w:i/>
          <w:u w:val="single"/>
        </w:rPr>
      </w:pPr>
      <w:r>
        <w:rPr>
          <w:i/>
          <w:u w:val="single"/>
        </w:rPr>
        <w:t>Underlying principles:</w:t>
      </w:r>
    </w:p>
    <w:p w:rsidR="00823785" w:rsidRDefault="003516E2" w:rsidP="001B726F">
      <w:r>
        <w:t>We expect all students at Toot Hill College to attain their target grades by the end of Year 13, which means that they will have achieved at least in line with the national average of progress for that particular course.</w:t>
      </w:r>
    </w:p>
    <w:p w:rsidR="00C063E5" w:rsidRDefault="001B726F" w:rsidP="003516E2">
      <w:r>
        <w:t xml:space="preserve">We expect all students to </w:t>
      </w:r>
      <w:r w:rsidR="003516E2">
        <w:t xml:space="preserve">be able to </w:t>
      </w:r>
      <w:r>
        <w:t>make one additional grade of progress from the end of Year 12 to the end of Year 13.</w:t>
      </w:r>
      <w:r w:rsidR="00823785">
        <w:t xml:space="preserve"> </w:t>
      </w:r>
    </w:p>
    <w:p w:rsidR="00A73109" w:rsidRPr="00823785" w:rsidRDefault="00A73109" w:rsidP="003516E2"/>
    <w:p w:rsidR="003516E2" w:rsidRPr="003516E2" w:rsidRDefault="003516E2" w:rsidP="001B726F">
      <w:pPr>
        <w:rPr>
          <w:i/>
          <w:u w:val="single"/>
        </w:rPr>
      </w:pPr>
      <w:r>
        <w:rPr>
          <w:i/>
          <w:u w:val="single"/>
        </w:rPr>
        <w:t xml:space="preserve">Overview of </w:t>
      </w:r>
      <w:r w:rsidR="00A93DA6">
        <w:rPr>
          <w:i/>
          <w:u w:val="single"/>
        </w:rPr>
        <w:t xml:space="preserve">progress </w:t>
      </w:r>
      <w:r>
        <w:rPr>
          <w:i/>
          <w:u w:val="single"/>
        </w:rPr>
        <w:t>re-entry requirements:</w:t>
      </w:r>
    </w:p>
    <w:p w:rsidR="00C063E5" w:rsidRPr="00C063E5" w:rsidRDefault="00C063E5" w:rsidP="00C063E5">
      <w:pPr>
        <w:pStyle w:val="ListParagraph"/>
        <w:numPr>
          <w:ilvl w:val="0"/>
          <w:numId w:val="8"/>
        </w:numPr>
        <w:rPr>
          <w:b/>
          <w:u w:val="single"/>
        </w:rPr>
      </w:pPr>
      <w:r>
        <w:rPr>
          <w:b/>
          <w:u w:val="single"/>
        </w:rPr>
        <w:t>Above, on track, or one grade below THT:</w:t>
      </w:r>
    </w:p>
    <w:p w:rsidR="00A4415F" w:rsidRDefault="003516E2" w:rsidP="001B726F">
      <w:r>
        <w:t>I</w:t>
      </w:r>
      <w:r w:rsidR="00823785">
        <w:t xml:space="preserve">f a student achieves </w:t>
      </w:r>
      <w:r>
        <w:t xml:space="preserve">either their THT or </w:t>
      </w:r>
      <w:r w:rsidR="00823785">
        <w:t xml:space="preserve">one below their THT at the end of Year 12, </w:t>
      </w:r>
      <w:r>
        <w:t xml:space="preserve">they are already on track to achieve their THT by the end of Year 13 and can automatically re-enrol </w:t>
      </w:r>
      <w:r w:rsidR="00A93DA6">
        <w:t xml:space="preserve">online </w:t>
      </w:r>
      <w:r>
        <w:t>into Year 13.</w:t>
      </w:r>
    </w:p>
    <w:tbl>
      <w:tblPr>
        <w:tblStyle w:val="TableGrid"/>
        <w:tblW w:w="10485" w:type="dxa"/>
        <w:tblLook w:val="04A0" w:firstRow="1" w:lastRow="0" w:firstColumn="1" w:lastColumn="0" w:noHBand="0" w:noVBand="1"/>
      </w:tblPr>
      <w:tblGrid>
        <w:gridCol w:w="2254"/>
        <w:gridCol w:w="2254"/>
        <w:gridCol w:w="2254"/>
        <w:gridCol w:w="3723"/>
      </w:tblGrid>
      <w:tr w:rsidR="009E23D4" w:rsidTr="005E7529">
        <w:tc>
          <w:tcPr>
            <w:tcW w:w="2254" w:type="dxa"/>
          </w:tcPr>
          <w:p w:rsidR="009E23D4" w:rsidRPr="00823785" w:rsidRDefault="009E23D4" w:rsidP="005E7529">
            <w:pPr>
              <w:jc w:val="center"/>
              <w:rPr>
                <w:b/>
              </w:rPr>
            </w:pPr>
            <w:r w:rsidRPr="00823785">
              <w:rPr>
                <w:b/>
              </w:rPr>
              <w:t>Course 1</w:t>
            </w:r>
          </w:p>
        </w:tc>
        <w:tc>
          <w:tcPr>
            <w:tcW w:w="2254" w:type="dxa"/>
          </w:tcPr>
          <w:p w:rsidR="009E23D4" w:rsidRPr="00823785" w:rsidRDefault="009E23D4" w:rsidP="005E7529">
            <w:pPr>
              <w:jc w:val="center"/>
              <w:rPr>
                <w:b/>
              </w:rPr>
            </w:pPr>
            <w:r w:rsidRPr="00823785">
              <w:rPr>
                <w:b/>
              </w:rPr>
              <w:t>Course 2</w:t>
            </w:r>
          </w:p>
        </w:tc>
        <w:tc>
          <w:tcPr>
            <w:tcW w:w="2254" w:type="dxa"/>
          </w:tcPr>
          <w:p w:rsidR="009E23D4" w:rsidRPr="00823785" w:rsidRDefault="009E23D4" w:rsidP="005E7529">
            <w:pPr>
              <w:jc w:val="center"/>
              <w:rPr>
                <w:b/>
              </w:rPr>
            </w:pPr>
            <w:r w:rsidRPr="00823785">
              <w:rPr>
                <w:b/>
              </w:rPr>
              <w:t>Course 3</w:t>
            </w:r>
          </w:p>
        </w:tc>
        <w:tc>
          <w:tcPr>
            <w:tcW w:w="3723" w:type="dxa"/>
          </w:tcPr>
          <w:p w:rsidR="009E23D4" w:rsidRPr="00823785" w:rsidRDefault="009E23D4" w:rsidP="005E7529">
            <w:pPr>
              <w:jc w:val="center"/>
              <w:rPr>
                <w:b/>
              </w:rPr>
            </w:pPr>
            <w:r w:rsidRPr="00823785">
              <w:rPr>
                <w:b/>
              </w:rPr>
              <w:t>Outcome</w:t>
            </w:r>
          </w:p>
        </w:tc>
      </w:tr>
      <w:tr w:rsidR="009E23D4" w:rsidTr="005E7529">
        <w:tc>
          <w:tcPr>
            <w:tcW w:w="2254" w:type="dxa"/>
            <w:shd w:val="clear" w:color="auto" w:fill="00B050"/>
          </w:tcPr>
          <w:p w:rsidR="009E23D4" w:rsidRDefault="009E23D4" w:rsidP="005E7529">
            <w:pPr>
              <w:jc w:val="center"/>
            </w:pPr>
            <w:r>
              <w:t>On THT</w:t>
            </w:r>
          </w:p>
        </w:tc>
        <w:tc>
          <w:tcPr>
            <w:tcW w:w="2254" w:type="dxa"/>
            <w:shd w:val="clear" w:color="auto" w:fill="00B050"/>
          </w:tcPr>
          <w:p w:rsidR="009E23D4" w:rsidRDefault="009E23D4" w:rsidP="005E7529">
            <w:pPr>
              <w:jc w:val="center"/>
            </w:pPr>
            <w:r>
              <w:t>On THT</w:t>
            </w:r>
          </w:p>
        </w:tc>
        <w:tc>
          <w:tcPr>
            <w:tcW w:w="2254" w:type="dxa"/>
            <w:shd w:val="clear" w:color="auto" w:fill="00B050"/>
          </w:tcPr>
          <w:p w:rsidR="009E23D4" w:rsidRDefault="009E23D4" w:rsidP="005E7529">
            <w:pPr>
              <w:jc w:val="center"/>
            </w:pPr>
            <w:r>
              <w:t>On THT</w:t>
            </w:r>
          </w:p>
        </w:tc>
        <w:tc>
          <w:tcPr>
            <w:tcW w:w="3723" w:type="dxa"/>
            <w:vMerge w:val="restart"/>
          </w:tcPr>
          <w:p w:rsidR="009E23D4" w:rsidRDefault="009E23D4" w:rsidP="005E7529">
            <w:pPr>
              <w:jc w:val="center"/>
            </w:pPr>
          </w:p>
          <w:p w:rsidR="009E23D4" w:rsidRPr="00C30EFF" w:rsidRDefault="009E23D4" w:rsidP="005E7529">
            <w:pPr>
              <w:jc w:val="center"/>
              <w:rPr>
                <w:b/>
              </w:rPr>
            </w:pPr>
            <w:r w:rsidRPr="00C30EFF">
              <w:rPr>
                <w:b/>
              </w:rPr>
              <w:t>Automatic re-enrolment to Year 13</w:t>
            </w:r>
          </w:p>
          <w:p w:rsidR="009E23D4" w:rsidRDefault="009E23D4" w:rsidP="005E7529">
            <w:pPr>
              <w:jc w:val="center"/>
            </w:pPr>
          </w:p>
        </w:tc>
      </w:tr>
      <w:tr w:rsidR="009E23D4" w:rsidTr="005E7529">
        <w:tc>
          <w:tcPr>
            <w:tcW w:w="2254" w:type="dxa"/>
            <w:shd w:val="clear" w:color="auto" w:fill="00B050"/>
          </w:tcPr>
          <w:p w:rsidR="009E23D4" w:rsidRDefault="009E23D4" w:rsidP="005E7529">
            <w:pPr>
              <w:jc w:val="center"/>
            </w:pPr>
            <w:r>
              <w:t>On THT</w:t>
            </w:r>
          </w:p>
        </w:tc>
        <w:tc>
          <w:tcPr>
            <w:tcW w:w="2254" w:type="dxa"/>
            <w:shd w:val="clear" w:color="auto" w:fill="00B050"/>
          </w:tcPr>
          <w:p w:rsidR="009E23D4" w:rsidRDefault="009E23D4" w:rsidP="005E7529">
            <w:pPr>
              <w:jc w:val="center"/>
            </w:pPr>
            <w:r>
              <w:t>On THT</w:t>
            </w:r>
          </w:p>
        </w:tc>
        <w:tc>
          <w:tcPr>
            <w:tcW w:w="2254" w:type="dxa"/>
            <w:shd w:val="clear" w:color="auto" w:fill="92D050"/>
          </w:tcPr>
          <w:p w:rsidR="009E23D4" w:rsidRDefault="009E23D4" w:rsidP="005E7529">
            <w:pPr>
              <w:jc w:val="center"/>
            </w:pPr>
            <w:r>
              <w:t>One below THT</w:t>
            </w:r>
          </w:p>
        </w:tc>
        <w:tc>
          <w:tcPr>
            <w:tcW w:w="3723" w:type="dxa"/>
            <w:vMerge/>
          </w:tcPr>
          <w:p w:rsidR="009E23D4" w:rsidRDefault="009E23D4" w:rsidP="005E7529">
            <w:pPr>
              <w:jc w:val="center"/>
            </w:pPr>
          </w:p>
        </w:tc>
      </w:tr>
      <w:tr w:rsidR="009E23D4" w:rsidTr="005E7529">
        <w:tc>
          <w:tcPr>
            <w:tcW w:w="2254" w:type="dxa"/>
            <w:shd w:val="clear" w:color="auto" w:fill="00B050"/>
          </w:tcPr>
          <w:p w:rsidR="009E23D4" w:rsidRDefault="009E23D4" w:rsidP="005E7529">
            <w:pPr>
              <w:jc w:val="center"/>
            </w:pPr>
            <w:r>
              <w:t xml:space="preserve">On THT </w:t>
            </w:r>
          </w:p>
        </w:tc>
        <w:tc>
          <w:tcPr>
            <w:tcW w:w="2254" w:type="dxa"/>
            <w:shd w:val="clear" w:color="auto" w:fill="92D050"/>
          </w:tcPr>
          <w:p w:rsidR="009E23D4" w:rsidRDefault="009E23D4" w:rsidP="005E7529">
            <w:pPr>
              <w:jc w:val="center"/>
            </w:pPr>
            <w:r>
              <w:t>One below THT</w:t>
            </w:r>
          </w:p>
        </w:tc>
        <w:tc>
          <w:tcPr>
            <w:tcW w:w="2254" w:type="dxa"/>
            <w:shd w:val="clear" w:color="auto" w:fill="92D050"/>
          </w:tcPr>
          <w:p w:rsidR="009E23D4" w:rsidRDefault="009E23D4" w:rsidP="005E7529">
            <w:pPr>
              <w:jc w:val="center"/>
            </w:pPr>
            <w:r>
              <w:t>One below THT</w:t>
            </w:r>
          </w:p>
        </w:tc>
        <w:tc>
          <w:tcPr>
            <w:tcW w:w="3723" w:type="dxa"/>
            <w:vMerge/>
          </w:tcPr>
          <w:p w:rsidR="009E23D4" w:rsidRDefault="009E23D4" w:rsidP="005E7529">
            <w:pPr>
              <w:jc w:val="center"/>
            </w:pPr>
          </w:p>
        </w:tc>
      </w:tr>
      <w:tr w:rsidR="009E23D4" w:rsidTr="005E7529">
        <w:tc>
          <w:tcPr>
            <w:tcW w:w="2254" w:type="dxa"/>
            <w:shd w:val="clear" w:color="auto" w:fill="92D050"/>
          </w:tcPr>
          <w:p w:rsidR="009E23D4" w:rsidRDefault="009E23D4" w:rsidP="005E7529">
            <w:pPr>
              <w:jc w:val="center"/>
            </w:pPr>
            <w:r>
              <w:t>One below THT</w:t>
            </w:r>
          </w:p>
        </w:tc>
        <w:tc>
          <w:tcPr>
            <w:tcW w:w="2254" w:type="dxa"/>
            <w:shd w:val="clear" w:color="auto" w:fill="92D050"/>
          </w:tcPr>
          <w:p w:rsidR="009E23D4" w:rsidRDefault="009E23D4" w:rsidP="005E7529">
            <w:pPr>
              <w:jc w:val="center"/>
            </w:pPr>
            <w:r>
              <w:t>One below THT</w:t>
            </w:r>
          </w:p>
        </w:tc>
        <w:tc>
          <w:tcPr>
            <w:tcW w:w="2254" w:type="dxa"/>
            <w:shd w:val="clear" w:color="auto" w:fill="92D050"/>
          </w:tcPr>
          <w:p w:rsidR="009E23D4" w:rsidRDefault="009E23D4" w:rsidP="005E7529">
            <w:pPr>
              <w:jc w:val="center"/>
            </w:pPr>
            <w:r>
              <w:t>One below THT</w:t>
            </w:r>
          </w:p>
        </w:tc>
        <w:tc>
          <w:tcPr>
            <w:tcW w:w="3723" w:type="dxa"/>
            <w:vMerge/>
          </w:tcPr>
          <w:p w:rsidR="009E23D4" w:rsidRDefault="009E23D4" w:rsidP="005E7529">
            <w:pPr>
              <w:jc w:val="center"/>
            </w:pPr>
          </w:p>
        </w:tc>
      </w:tr>
    </w:tbl>
    <w:p w:rsidR="009E23D4" w:rsidRDefault="009E23D4" w:rsidP="001B726F"/>
    <w:p w:rsidR="00C063E5" w:rsidRPr="00C063E5" w:rsidRDefault="00C063E5" w:rsidP="00C063E5">
      <w:pPr>
        <w:pStyle w:val="ListParagraph"/>
        <w:numPr>
          <w:ilvl w:val="0"/>
          <w:numId w:val="8"/>
        </w:numPr>
        <w:rPr>
          <w:b/>
          <w:u w:val="single"/>
        </w:rPr>
      </w:pPr>
      <w:r>
        <w:rPr>
          <w:b/>
          <w:u w:val="single"/>
        </w:rPr>
        <w:t>Two grades below THT:</w:t>
      </w:r>
    </w:p>
    <w:p w:rsidR="00A4415F" w:rsidRDefault="003516E2" w:rsidP="001B726F">
      <w:r>
        <w:t xml:space="preserve">It is possible, though </w:t>
      </w:r>
      <w:r w:rsidR="00A4415F">
        <w:t>requires a serious consideration of possible intervention and evidence of full commitment from the student</w:t>
      </w:r>
      <w:r>
        <w:t>, for a student to make two grades of progress from the end of Year 12 to the end of Year 13</w:t>
      </w:r>
      <w:r w:rsidR="00A4415F">
        <w:t>. As such</w:t>
      </w:r>
      <w:r>
        <w:t xml:space="preserve">, </w:t>
      </w:r>
      <w:r w:rsidR="00A4415F">
        <w:t>i</w:t>
      </w:r>
      <w:r>
        <w:t xml:space="preserve">f a student achieves two grades below their THT in a course, </w:t>
      </w:r>
      <w:r w:rsidR="00A4415F">
        <w:t xml:space="preserve">it will be possible for them to </w:t>
      </w:r>
      <w:r>
        <w:t xml:space="preserve">re-enrol into Year 13 but </w:t>
      </w:r>
      <w:r w:rsidR="00A4415F">
        <w:t>this will depend upon:</w:t>
      </w:r>
    </w:p>
    <w:p w:rsidR="00A4415F" w:rsidRDefault="00A4415F" w:rsidP="00A4415F">
      <w:pPr>
        <w:pStyle w:val="ListParagraph"/>
        <w:numPr>
          <w:ilvl w:val="0"/>
          <w:numId w:val="2"/>
        </w:numPr>
      </w:pPr>
      <w:r>
        <w:t xml:space="preserve">Additional evidence of full student commitment to </w:t>
      </w:r>
      <w:r w:rsidR="00A93DA6">
        <w:t>making this progress in Year 13 (e.g. prior attendance, homework and effort scores).</w:t>
      </w:r>
    </w:p>
    <w:p w:rsidR="00C063E5" w:rsidRDefault="009E23D4" w:rsidP="006D0B4B">
      <w:pPr>
        <w:pStyle w:val="ListParagraph"/>
        <w:numPr>
          <w:ilvl w:val="0"/>
          <w:numId w:val="2"/>
        </w:numPr>
      </w:pPr>
      <w:r>
        <w:t>Agreement by the student, parent and the College Team to a</w:t>
      </w:r>
      <w:r w:rsidR="00A4415F">
        <w:t xml:space="preserve"> formal </w:t>
      </w:r>
      <w:r w:rsidR="003516E2">
        <w:t xml:space="preserve">intervention </w:t>
      </w:r>
      <w:proofErr w:type="gramStart"/>
      <w:r w:rsidR="00A4415F">
        <w:t>plan which</w:t>
      </w:r>
      <w:proofErr w:type="gramEnd"/>
      <w:r w:rsidR="00A4415F">
        <w:t xml:space="preserve"> must be adhered to during Year 13.</w:t>
      </w:r>
    </w:p>
    <w:tbl>
      <w:tblPr>
        <w:tblStyle w:val="TableGrid"/>
        <w:tblW w:w="10485" w:type="dxa"/>
        <w:tblLook w:val="04A0" w:firstRow="1" w:lastRow="0" w:firstColumn="1" w:lastColumn="0" w:noHBand="0" w:noVBand="1"/>
      </w:tblPr>
      <w:tblGrid>
        <w:gridCol w:w="2254"/>
        <w:gridCol w:w="2254"/>
        <w:gridCol w:w="2254"/>
        <w:gridCol w:w="3723"/>
      </w:tblGrid>
      <w:tr w:rsidR="009E23D4" w:rsidTr="005E7529">
        <w:tc>
          <w:tcPr>
            <w:tcW w:w="2254" w:type="dxa"/>
          </w:tcPr>
          <w:p w:rsidR="009E23D4" w:rsidRDefault="009E23D4" w:rsidP="005E7529">
            <w:pPr>
              <w:jc w:val="center"/>
            </w:pPr>
            <w:r>
              <w:t>Course 1</w:t>
            </w:r>
          </w:p>
        </w:tc>
        <w:tc>
          <w:tcPr>
            <w:tcW w:w="2254" w:type="dxa"/>
          </w:tcPr>
          <w:p w:rsidR="009E23D4" w:rsidRDefault="009E23D4" w:rsidP="005E7529">
            <w:pPr>
              <w:jc w:val="center"/>
            </w:pPr>
            <w:r>
              <w:t>Course 2</w:t>
            </w:r>
          </w:p>
        </w:tc>
        <w:tc>
          <w:tcPr>
            <w:tcW w:w="2254" w:type="dxa"/>
          </w:tcPr>
          <w:p w:rsidR="009E23D4" w:rsidRDefault="009E23D4" w:rsidP="005E7529">
            <w:pPr>
              <w:jc w:val="center"/>
            </w:pPr>
            <w:r>
              <w:t>Course 3</w:t>
            </w:r>
          </w:p>
        </w:tc>
        <w:tc>
          <w:tcPr>
            <w:tcW w:w="3723" w:type="dxa"/>
          </w:tcPr>
          <w:p w:rsidR="009E23D4" w:rsidRDefault="009E23D4" w:rsidP="005E7529">
            <w:pPr>
              <w:jc w:val="center"/>
            </w:pPr>
            <w:r>
              <w:t>Outcome</w:t>
            </w:r>
          </w:p>
        </w:tc>
      </w:tr>
      <w:tr w:rsidR="009E23D4" w:rsidTr="005E7529">
        <w:tc>
          <w:tcPr>
            <w:tcW w:w="2254" w:type="dxa"/>
            <w:shd w:val="clear" w:color="auto" w:fill="92D050"/>
          </w:tcPr>
          <w:p w:rsidR="009E23D4" w:rsidRDefault="009E23D4" w:rsidP="005E7529">
            <w:pPr>
              <w:jc w:val="center"/>
            </w:pPr>
            <w:r>
              <w:t>One below THT</w:t>
            </w:r>
          </w:p>
        </w:tc>
        <w:tc>
          <w:tcPr>
            <w:tcW w:w="2254" w:type="dxa"/>
            <w:shd w:val="clear" w:color="auto" w:fill="92D050"/>
          </w:tcPr>
          <w:p w:rsidR="009E23D4" w:rsidRDefault="009E23D4" w:rsidP="005E7529">
            <w:pPr>
              <w:jc w:val="center"/>
            </w:pPr>
            <w:r>
              <w:t>One below THT</w:t>
            </w:r>
          </w:p>
        </w:tc>
        <w:tc>
          <w:tcPr>
            <w:tcW w:w="2254" w:type="dxa"/>
            <w:shd w:val="clear" w:color="auto" w:fill="FFFF00"/>
          </w:tcPr>
          <w:p w:rsidR="009E23D4" w:rsidRDefault="009E23D4" w:rsidP="005E7529">
            <w:pPr>
              <w:jc w:val="center"/>
            </w:pPr>
            <w:r>
              <w:t>Two below THT</w:t>
            </w:r>
          </w:p>
        </w:tc>
        <w:tc>
          <w:tcPr>
            <w:tcW w:w="3723" w:type="dxa"/>
            <w:vMerge w:val="restart"/>
          </w:tcPr>
          <w:p w:rsidR="009E23D4" w:rsidRDefault="009E23D4" w:rsidP="009E23D4">
            <w:pPr>
              <w:jc w:val="center"/>
            </w:pPr>
            <w:r>
              <w:t>Re-enrolment to Year 13 possible but dependent on agreement</w:t>
            </w:r>
            <w:r w:rsidR="0065001C">
              <w:t xml:space="preserve"> of</w:t>
            </w:r>
            <w:r>
              <w:t xml:space="preserve"> a formal intervention plan for each course two or more grades below THT.</w:t>
            </w:r>
          </w:p>
        </w:tc>
      </w:tr>
      <w:tr w:rsidR="009E23D4" w:rsidTr="005E7529">
        <w:tc>
          <w:tcPr>
            <w:tcW w:w="2254" w:type="dxa"/>
            <w:shd w:val="clear" w:color="auto" w:fill="92D050"/>
          </w:tcPr>
          <w:p w:rsidR="009E23D4" w:rsidRDefault="009E23D4" w:rsidP="005E7529">
            <w:pPr>
              <w:jc w:val="center"/>
            </w:pPr>
            <w:r>
              <w:t>One below THT</w:t>
            </w:r>
          </w:p>
        </w:tc>
        <w:tc>
          <w:tcPr>
            <w:tcW w:w="2254" w:type="dxa"/>
            <w:shd w:val="clear" w:color="auto" w:fill="FFFF00"/>
          </w:tcPr>
          <w:p w:rsidR="009E23D4" w:rsidRDefault="009E23D4" w:rsidP="005E7529">
            <w:pPr>
              <w:jc w:val="center"/>
            </w:pPr>
            <w:r>
              <w:t>Two below THT</w:t>
            </w:r>
          </w:p>
        </w:tc>
        <w:tc>
          <w:tcPr>
            <w:tcW w:w="2254" w:type="dxa"/>
            <w:shd w:val="clear" w:color="auto" w:fill="FFFF00"/>
          </w:tcPr>
          <w:p w:rsidR="009E23D4" w:rsidRDefault="009E23D4" w:rsidP="005E7529">
            <w:pPr>
              <w:jc w:val="center"/>
            </w:pPr>
            <w:r>
              <w:t>Two below THT</w:t>
            </w:r>
          </w:p>
        </w:tc>
        <w:tc>
          <w:tcPr>
            <w:tcW w:w="3723" w:type="dxa"/>
            <w:vMerge/>
          </w:tcPr>
          <w:p w:rsidR="009E23D4" w:rsidRDefault="009E23D4" w:rsidP="005E7529">
            <w:pPr>
              <w:jc w:val="center"/>
            </w:pPr>
          </w:p>
        </w:tc>
      </w:tr>
      <w:tr w:rsidR="009E23D4" w:rsidTr="005E7529">
        <w:tc>
          <w:tcPr>
            <w:tcW w:w="2254" w:type="dxa"/>
            <w:shd w:val="clear" w:color="auto" w:fill="FFFF00"/>
          </w:tcPr>
          <w:p w:rsidR="009E23D4" w:rsidRDefault="009E23D4" w:rsidP="005E7529">
            <w:pPr>
              <w:jc w:val="center"/>
            </w:pPr>
            <w:r>
              <w:t>Two below THT</w:t>
            </w:r>
          </w:p>
        </w:tc>
        <w:tc>
          <w:tcPr>
            <w:tcW w:w="2254" w:type="dxa"/>
            <w:shd w:val="clear" w:color="auto" w:fill="FFFF00"/>
          </w:tcPr>
          <w:p w:rsidR="009E23D4" w:rsidRDefault="009E23D4" w:rsidP="005E7529">
            <w:pPr>
              <w:jc w:val="center"/>
            </w:pPr>
            <w:r>
              <w:t>Two below THT</w:t>
            </w:r>
          </w:p>
        </w:tc>
        <w:tc>
          <w:tcPr>
            <w:tcW w:w="2254" w:type="dxa"/>
            <w:shd w:val="clear" w:color="auto" w:fill="FFFF00"/>
          </w:tcPr>
          <w:p w:rsidR="009E23D4" w:rsidRDefault="009E23D4" w:rsidP="005E7529">
            <w:pPr>
              <w:jc w:val="center"/>
            </w:pPr>
            <w:r>
              <w:t>Two below THT</w:t>
            </w:r>
          </w:p>
        </w:tc>
        <w:tc>
          <w:tcPr>
            <w:tcW w:w="3723" w:type="dxa"/>
            <w:vMerge/>
          </w:tcPr>
          <w:p w:rsidR="009E23D4" w:rsidRDefault="009E23D4" w:rsidP="005E7529">
            <w:pPr>
              <w:jc w:val="center"/>
            </w:pPr>
          </w:p>
        </w:tc>
      </w:tr>
    </w:tbl>
    <w:p w:rsidR="00C063E5" w:rsidRDefault="00C063E5" w:rsidP="009E23D4"/>
    <w:p w:rsidR="00A4415F" w:rsidRPr="00C063E5" w:rsidRDefault="00C063E5" w:rsidP="00C063E5">
      <w:pPr>
        <w:pStyle w:val="ListParagraph"/>
        <w:numPr>
          <w:ilvl w:val="0"/>
          <w:numId w:val="8"/>
        </w:numPr>
        <w:rPr>
          <w:b/>
          <w:u w:val="single"/>
        </w:rPr>
      </w:pPr>
      <w:r>
        <w:rPr>
          <w:b/>
          <w:u w:val="single"/>
        </w:rPr>
        <w:t>More than two grades below THT:</w:t>
      </w:r>
    </w:p>
    <w:p w:rsidR="003516E2" w:rsidRDefault="003516E2" w:rsidP="001B726F">
      <w:r>
        <w:t>If a student is more than two grades below their THT in a course, we cannot support their automatic re-</w:t>
      </w:r>
      <w:r w:rsidR="009E23D4">
        <w:t xml:space="preserve">enrolment </w:t>
      </w:r>
      <w:r>
        <w:t xml:space="preserve">into Year 13 on </w:t>
      </w:r>
      <w:proofErr w:type="gramStart"/>
      <w:r>
        <w:t>this(</w:t>
      </w:r>
      <w:proofErr w:type="gramEnd"/>
      <w:r>
        <w:t>these</w:t>
      </w:r>
      <w:r w:rsidR="00A93DA6">
        <w:t>) particu</w:t>
      </w:r>
      <w:r w:rsidR="009E23D4">
        <w:t>lar course(s) of study; students and parents will need to meet with a member of the College Leadership Team to explore the range of different options available to the student going forward.</w:t>
      </w:r>
    </w:p>
    <w:tbl>
      <w:tblPr>
        <w:tblStyle w:val="TableGrid"/>
        <w:tblW w:w="10485" w:type="dxa"/>
        <w:tblLook w:val="04A0" w:firstRow="1" w:lastRow="0" w:firstColumn="1" w:lastColumn="0" w:noHBand="0" w:noVBand="1"/>
      </w:tblPr>
      <w:tblGrid>
        <w:gridCol w:w="2254"/>
        <w:gridCol w:w="2254"/>
        <w:gridCol w:w="2254"/>
        <w:gridCol w:w="3723"/>
      </w:tblGrid>
      <w:tr w:rsidR="009E23D4" w:rsidTr="005E7529">
        <w:tc>
          <w:tcPr>
            <w:tcW w:w="2254" w:type="dxa"/>
          </w:tcPr>
          <w:p w:rsidR="009E23D4" w:rsidRDefault="009E23D4" w:rsidP="005E7529">
            <w:pPr>
              <w:jc w:val="center"/>
            </w:pPr>
            <w:r>
              <w:t>Course 1</w:t>
            </w:r>
          </w:p>
        </w:tc>
        <w:tc>
          <w:tcPr>
            <w:tcW w:w="2254" w:type="dxa"/>
          </w:tcPr>
          <w:p w:rsidR="009E23D4" w:rsidRDefault="009E23D4" w:rsidP="005E7529">
            <w:pPr>
              <w:jc w:val="center"/>
            </w:pPr>
            <w:r>
              <w:t>Course 2</w:t>
            </w:r>
          </w:p>
        </w:tc>
        <w:tc>
          <w:tcPr>
            <w:tcW w:w="2254" w:type="dxa"/>
          </w:tcPr>
          <w:p w:rsidR="009E23D4" w:rsidRDefault="009E23D4" w:rsidP="005E7529">
            <w:pPr>
              <w:jc w:val="center"/>
            </w:pPr>
            <w:r>
              <w:t>Course 3</w:t>
            </w:r>
          </w:p>
        </w:tc>
        <w:tc>
          <w:tcPr>
            <w:tcW w:w="3723" w:type="dxa"/>
          </w:tcPr>
          <w:p w:rsidR="009E23D4" w:rsidRDefault="009E23D4" w:rsidP="005E7529">
            <w:pPr>
              <w:jc w:val="center"/>
            </w:pPr>
            <w:r>
              <w:t>Outcome</w:t>
            </w:r>
          </w:p>
        </w:tc>
      </w:tr>
      <w:tr w:rsidR="009E23D4" w:rsidTr="005E7529">
        <w:tc>
          <w:tcPr>
            <w:tcW w:w="2254" w:type="dxa"/>
            <w:shd w:val="clear" w:color="auto" w:fill="FFFF00"/>
          </w:tcPr>
          <w:p w:rsidR="009E23D4" w:rsidRDefault="009E23D4" w:rsidP="005E7529">
            <w:pPr>
              <w:jc w:val="center"/>
            </w:pPr>
            <w:r>
              <w:t>Two below THT</w:t>
            </w:r>
          </w:p>
        </w:tc>
        <w:tc>
          <w:tcPr>
            <w:tcW w:w="2254" w:type="dxa"/>
            <w:shd w:val="clear" w:color="auto" w:fill="FFFF00"/>
          </w:tcPr>
          <w:p w:rsidR="009E23D4" w:rsidRDefault="009E23D4" w:rsidP="005E7529">
            <w:pPr>
              <w:jc w:val="center"/>
            </w:pPr>
            <w:r>
              <w:t>Two below THT</w:t>
            </w:r>
          </w:p>
        </w:tc>
        <w:tc>
          <w:tcPr>
            <w:tcW w:w="2254" w:type="dxa"/>
            <w:shd w:val="clear" w:color="auto" w:fill="FF0000"/>
          </w:tcPr>
          <w:p w:rsidR="009E23D4" w:rsidRDefault="009E23D4" w:rsidP="005E7529">
            <w:pPr>
              <w:jc w:val="center"/>
            </w:pPr>
            <w:r>
              <w:t>More than two below THT</w:t>
            </w:r>
          </w:p>
        </w:tc>
        <w:tc>
          <w:tcPr>
            <w:tcW w:w="3723" w:type="dxa"/>
            <w:vMerge w:val="restart"/>
          </w:tcPr>
          <w:p w:rsidR="009E23D4" w:rsidRDefault="009E23D4" w:rsidP="005E7529">
            <w:pPr>
              <w:jc w:val="center"/>
            </w:pPr>
            <w:r>
              <w:t>Automatic re-enrolment not possible. Compulsory meeting with member of College Leadership Team to explore range of different options available going forward.</w:t>
            </w:r>
          </w:p>
        </w:tc>
      </w:tr>
      <w:tr w:rsidR="009E23D4" w:rsidTr="005E7529">
        <w:tc>
          <w:tcPr>
            <w:tcW w:w="2254" w:type="dxa"/>
            <w:shd w:val="clear" w:color="auto" w:fill="FFFF00"/>
          </w:tcPr>
          <w:p w:rsidR="009E23D4" w:rsidRDefault="009E23D4" w:rsidP="005E7529">
            <w:pPr>
              <w:jc w:val="center"/>
            </w:pPr>
            <w:r>
              <w:t>Two below THT</w:t>
            </w:r>
          </w:p>
        </w:tc>
        <w:tc>
          <w:tcPr>
            <w:tcW w:w="2254" w:type="dxa"/>
            <w:shd w:val="clear" w:color="auto" w:fill="FF0000"/>
          </w:tcPr>
          <w:p w:rsidR="009E23D4" w:rsidRDefault="009E23D4" w:rsidP="005E7529">
            <w:pPr>
              <w:jc w:val="center"/>
            </w:pPr>
            <w:r>
              <w:t>More than two below THT</w:t>
            </w:r>
          </w:p>
        </w:tc>
        <w:tc>
          <w:tcPr>
            <w:tcW w:w="2254" w:type="dxa"/>
            <w:shd w:val="clear" w:color="auto" w:fill="FF0000"/>
          </w:tcPr>
          <w:p w:rsidR="009E23D4" w:rsidRDefault="009E23D4" w:rsidP="005E7529">
            <w:pPr>
              <w:jc w:val="center"/>
            </w:pPr>
            <w:r>
              <w:t>More than two below THT</w:t>
            </w:r>
          </w:p>
        </w:tc>
        <w:tc>
          <w:tcPr>
            <w:tcW w:w="3723" w:type="dxa"/>
            <w:vMerge/>
          </w:tcPr>
          <w:p w:rsidR="009E23D4" w:rsidRDefault="009E23D4" w:rsidP="005E7529">
            <w:pPr>
              <w:jc w:val="center"/>
            </w:pPr>
          </w:p>
        </w:tc>
      </w:tr>
      <w:tr w:rsidR="009E23D4" w:rsidTr="005E7529">
        <w:tc>
          <w:tcPr>
            <w:tcW w:w="2254" w:type="dxa"/>
            <w:shd w:val="clear" w:color="auto" w:fill="FF0000"/>
          </w:tcPr>
          <w:p w:rsidR="009E23D4" w:rsidRDefault="009E23D4" w:rsidP="005E7529">
            <w:pPr>
              <w:jc w:val="center"/>
            </w:pPr>
            <w:r>
              <w:t>More than two below THT</w:t>
            </w:r>
          </w:p>
        </w:tc>
        <w:tc>
          <w:tcPr>
            <w:tcW w:w="2254" w:type="dxa"/>
            <w:shd w:val="clear" w:color="auto" w:fill="FF0000"/>
          </w:tcPr>
          <w:p w:rsidR="009E23D4" w:rsidRDefault="009E23D4" w:rsidP="005E7529">
            <w:pPr>
              <w:jc w:val="center"/>
            </w:pPr>
            <w:r>
              <w:t>More than two below THT</w:t>
            </w:r>
          </w:p>
        </w:tc>
        <w:tc>
          <w:tcPr>
            <w:tcW w:w="2254" w:type="dxa"/>
            <w:shd w:val="clear" w:color="auto" w:fill="FF0000"/>
          </w:tcPr>
          <w:p w:rsidR="009E23D4" w:rsidRDefault="009E23D4" w:rsidP="005E7529">
            <w:pPr>
              <w:jc w:val="center"/>
            </w:pPr>
            <w:r>
              <w:t>More than two below THT</w:t>
            </w:r>
          </w:p>
        </w:tc>
        <w:tc>
          <w:tcPr>
            <w:tcW w:w="3723" w:type="dxa"/>
            <w:vMerge/>
          </w:tcPr>
          <w:p w:rsidR="009E23D4" w:rsidRDefault="009E23D4" w:rsidP="005E7529">
            <w:pPr>
              <w:jc w:val="center"/>
            </w:pPr>
          </w:p>
        </w:tc>
      </w:tr>
    </w:tbl>
    <w:p w:rsidR="00FC7FEC" w:rsidRDefault="00FC7FEC" w:rsidP="00FC7FEC"/>
    <w:p w:rsidR="00A73109" w:rsidRDefault="00A73109" w:rsidP="00FC7FEC"/>
    <w:p w:rsidR="00FA1D2D" w:rsidRDefault="00FA1D2D" w:rsidP="00FA1D2D">
      <w:pPr>
        <w:pStyle w:val="ListParagraph"/>
        <w:numPr>
          <w:ilvl w:val="0"/>
          <w:numId w:val="1"/>
        </w:numPr>
        <w:rPr>
          <w:b/>
          <w:u w:val="single"/>
        </w:rPr>
      </w:pPr>
      <w:r w:rsidRPr="00FA1D2D">
        <w:rPr>
          <w:b/>
          <w:u w:val="single"/>
        </w:rPr>
        <w:t>What are the progress requirements for student re-enrolment to Year 13 for Vocational courses?</w:t>
      </w:r>
    </w:p>
    <w:p w:rsidR="00C30EFF" w:rsidRDefault="00C30EFF" w:rsidP="00C30EFF">
      <w:pPr>
        <w:rPr>
          <w:b/>
          <w:u w:val="single"/>
        </w:rPr>
      </w:pPr>
    </w:p>
    <w:p w:rsidR="00C30EFF" w:rsidRPr="00C30EFF" w:rsidRDefault="00C30EFF" w:rsidP="00C30EFF">
      <w:pPr>
        <w:pStyle w:val="ListParagraph"/>
        <w:numPr>
          <w:ilvl w:val="0"/>
          <w:numId w:val="16"/>
        </w:numPr>
        <w:rPr>
          <w:b/>
          <w:u w:val="single"/>
        </w:rPr>
      </w:pPr>
      <w:r w:rsidRPr="00C30EFF">
        <w:rPr>
          <w:b/>
          <w:u w:val="single"/>
        </w:rPr>
        <w:t>Pass in both coursework and exam units</w:t>
      </w:r>
      <w:r>
        <w:rPr>
          <w:b/>
        </w:rPr>
        <w:t>:</w:t>
      </w:r>
    </w:p>
    <w:tbl>
      <w:tblPr>
        <w:tblStyle w:val="TableGrid"/>
        <w:tblW w:w="0" w:type="auto"/>
        <w:tblLook w:val="04A0" w:firstRow="1" w:lastRow="0" w:firstColumn="1" w:lastColumn="0" w:noHBand="0" w:noVBand="1"/>
      </w:tblPr>
      <w:tblGrid>
        <w:gridCol w:w="2122"/>
        <w:gridCol w:w="6804"/>
        <w:gridCol w:w="1530"/>
      </w:tblGrid>
      <w:tr w:rsidR="00C30EFF" w:rsidTr="00C30EFF">
        <w:tc>
          <w:tcPr>
            <w:tcW w:w="2122" w:type="dxa"/>
          </w:tcPr>
          <w:p w:rsidR="00C30EFF" w:rsidRPr="00C30EFF" w:rsidRDefault="00C30EFF" w:rsidP="00C30EFF">
            <w:pPr>
              <w:jc w:val="center"/>
              <w:rPr>
                <w:b/>
              </w:rPr>
            </w:pPr>
            <w:r w:rsidRPr="00C30EFF">
              <w:rPr>
                <w:b/>
              </w:rPr>
              <w:t>Vocational course modules:</w:t>
            </w:r>
          </w:p>
        </w:tc>
        <w:tc>
          <w:tcPr>
            <w:tcW w:w="6804" w:type="dxa"/>
          </w:tcPr>
          <w:p w:rsidR="00C30EFF" w:rsidRPr="0065001C" w:rsidRDefault="00C30EFF" w:rsidP="00C30EFF">
            <w:pPr>
              <w:rPr>
                <w:b/>
              </w:rPr>
            </w:pPr>
            <w:r w:rsidRPr="0065001C">
              <w:rPr>
                <w:b/>
              </w:rPr>
              <w:t>Progress requirements for automatic re-enrolment:</w:t>
            </w:r>
          </w:p>
        </w:tc>
        <w:tc>
          <w:tcPr>
            <w:tcW w:w="1530" w:type="dxa"/>
          </w:tcPr>
          <w:p w:rsidR="00C30EFF" w:rsidRPr="0065001C" w:rsidRDefault="00C30EFF" w:rsidP="0065001C">
            <w:pPr>
              <w:jc w:val="center"/>
              <w:rPr>
                <w:b/>
              </w:rPr>
            </w:pPr>
            <w:r w:rsidRPr="0065001C">
              <w:rPr>
                <w:b/>
              </w:rPr>
              <w:t>Outcome:</w:t>
            </w:r>
          </w:p>
        </w:tc>
      </w:tr>
      <w:tr w:rsidR="00C30EFF" w:rsidTr="00C30EFF">
        <w:tc>
          <w:tcPr>
            <w:tcW w:w="2122" w:type="dxa"/>
          </w:tcPr>
          <w:p w:rsidR="00C30EFF" w:rsidRPr="00C30EFF" w:rsidRDefault="00C30EFF" w:rsidP="00C30EFF">
            <w:pPr>
              <w:jc w:val="center"/>
              <w:rPr>
                <w:b/>
              </w:rPr>
            </w:pPr>
          </w:p>
          <w:p w:rsidR="00C30EFF" w:rsidRPr="00C30EFF" w:rsidRDefault="00C30EFF" w:rsidP="00C30EFF">
            <w:pPr>
              <w:jc w:val="center"/>
              <w:rPr>
                <w:b/>
              </w:rPr>
            </w:pPr>
            <w:r w:rsidRPr="00C30EFF">
              <w:rPr>
                <w:b/>
              </w:rPr>
              <w:t>Internally-marked coursework units</w:t>
            </w:r>
          </w:p>
        </w:tc>
        <w:tc>
          <w:tcPr>
            <w:tcW w:w="6804" w:type="dxa"/>
          </w:tcPr>
          <w:p w:rsidR="00C30EFF" w:rsidRDefault="00C30EFF" w:rsidP="00C30EFF"/>
          <w:p w:rsidR="00C30EFF" w:rsidRDefault="00C30EFF" w:rsidP="00C30EFF">
            <w:r>
              <w:t>A student must ‘Pass’ all coursework units.</w:t>
            </w:r>
          </w:p>
          <w:p w:rsidR="00C30EFF" w:rsidRPr="00C30EFF" w:rsidRDefault="00C30EFF" w:rsidP="00C30EFF">
            <w:pPr>
              <w:rPr>
                <w:i/>
                <w:sz w:val="18"/>
              </w:rPr>
            </w:pPr>
            <w:r w:rsidRPr="00C30EFF">
              <w:rPr>
                <w:i/>
                <w:sz w:val="18"/>
              </w:rPr>
              <w:t xml:space="preserve">Nevertheless, given that the national average of attainment on vocational courses is a ‘Distinction’, it </w:t>
            </w:r>
            <w:proofErr w:type="gramStart"/>
            <w:r w:rsidRPr="00C30EFF">
              <w:rPr>
                <w:i/>
                <w:sz w:val="18"/>
              </w:rPr>
              <w:t>is strongly recommended</w:t>
            </w:r>
            <w:proofErr w:type="gramEnd"/>
            <w:r w:rsidRPr="00C30EFF">
              <w:rPr>
                <w:i/>
                <w:sz w:val="18"/>
              </w:rPr>
              <w:t xml:space="preserve"> that students aim for at least a Merit or above.</w:t>
            </w:r>
          </w:p>
          <w:p w:rsidR="00C30EFF" w:rsidRDefault="00C30EFF" w:rsidP="00C30EFF"/>
        </w:tc>
        <w:tc>
          <w:tcPr>
            <w:tcW w:w="1530" w:type="dxa"/>
            <w:vMerge w:val="restart"/>
          </w:tcPr>
          <w:p w:rsidR="00C30EFF" w:rsidRDefault="00C30EFF" w:rsidP="00C30EFF">
            <w:pPr>
              <w:jc w:val="center"/>
            </w:pPr>
          </w:p>
          <w:p w:rsidR="00C30EFF" w:rsidRDefault="00C30EFF" w:rsidP="00C30EFF">
            <w:pPr>
              <w:jc w:val="center"/>
            </w:pPr>
          </w:p>
          <w:p w:rsidR="00C30EFF" w:rsidRDefault="00C30EFF" w:rsidP="00C30EFF">
            <w:pPr>
              <w:jc w:val="center"/>
            </w:pPr>
          </w:p>
          <w:p w:rsidR="00C30EFF" w:rsidRDefault="00C30EFF" w:rsidP="00C30EFF">
            <w:pPr>
              <w:jc w:val="center"/>
            </w:pPr>
            <w:r>
              <w:t>Automatic re-enrolment to Year 13.</w:t>
            </w:r>
          </w:p>
        </w:tc>
      </w:tr>
      <w:tr w:rsidR="00C30EFF" w:rsidTr="00C30EFF">
        <w:tc>
          <w:tcPr>
            <w:tcW w:w="2122" w:type="dxa"/>
          </w:tcPr>
          <w:p w:rsidR="00C30EFF" w:rsidRPr="00C30EFF" w:rsidRDefault="00C30EFF" w:rsidP="00C30EFF">
            <w:pPr>
              <w:jc w:val="center"/>
              <w:rPr>
                <w:b/>
              </w:rPr>
            </w:pPr>
          </w:p>
          <w:p w:rsidR="00C30EFF" w:rsidRPr="00C30EFF" w:rsidRDefault="00C30EFF" w:rsidP="00C30EFF">
            <w:pPr>
              <w:jc w:val="center"/>
              <w:rPr>
                <w:b/>
              </w:rPr>
            </w:pPr>
            <w:r w:rsidRPr="00C30EFF">
              <w:rPr>
                <w:b/>
              </w:rPr>
              <w:t>Externally-marked examination units</w:t>
            </w:r>
          </w:p>
          <w:p w:rsidR="00C30EFF" w:rsidRPr="00C30EFF" w:rsidRDefault="00C30EFF" w:rsidP="00C30EFF">
            <w:pPr>
              <w:jc w:val="center"/>
              <w:rPr>
                <w:b/>
              </w:rPr>
            </w:pPr>
          </w:p>
        </w:tc>
        <w:tc>
          <w:tcPr>
            <w:tcW w:w="6804" w:type="dxa"/>
          </w:tcPr>
          <w:p w:rsidR="00C30EFF" w:rsidRDefault="00C30EFF" w:rsidP="00C30EFF"/>
          <w:p w:rsidR="00C30EFF" w:rsidRDefault="00C30EFF" w:rsidP="00C30EFF">
            <w:r>
              <w:t>A student must ‘Pass’ all examination units.</w:t>
            </w:r>
          </w:p>
          <w:p w:rsidR="0065001C" w:rsidRPr="0065001C" w:rsidRDefault="0065001C" w:rsidP="00C30EFF">
            <w:pPr>
              <w:rPr>
                <w:i/>
                <w:sz w:val="18"/>
              </w:rPr>
            </w:pPr>
          </w:p>
        </w:tc>
        <w:tc>
          <w:tcPr>
            <w:tcW w:w="1530" w:type="dxa"/>
            <w:vMerge/>
          </w:tcPr>
          <w:p w:rsidR="00C30EFF" w:rsidRDefault="00C30EFF" w:rsidP="00C30EFF"/>
        </w:tc>
      </w:tr>
    </w:tbl>
    <w:p w:rsidR="00C30EFF" w:rsidRDefault="00C30EFF" w:rsidP="00C30EFF"/>
    <w:p w:rsidR="00C30EFF" w:rsidRPr="00A73109" w:rsidRDefault="00C30EFF" w:rsidP="00C30EFF">
      <w:pPr>
        <w:pStyle w:val="ListParagraph"/>
        <w:numPr>
          <w:ilvl w:val="0"/>
          <w:numId w:val="16"/>
        </w:numPr>
        <w:rPr>
          <w:b/>
          <w:u w:val="single"/>
        </w:rPr>
      </w:pPr>
      <w:r w:rsidRPr="00A73109">
        <w:rPr>
          <w:b/>
          <w:u w:val="single"/>
        </w:rPr>
        <w:t>Fail in coursework or exam units:</w:t>
      </w:r>
    </w:p>
    <w:p w:rsidR="00EA2265" w:rsidRDefault="00EA2265" w:rsidP="00A73109"/>
    <w:p w:rsidR="00A73109" w:rsidRDefault="00A73109" w:rsidP="00A73109">
      <w:r>
        <w:t>If a student fails either a coursework or exam unit, we cannot support their automatic re-enrolment into Year 13 on this(these) particular course(s) of study; students and parents will need to meet with a member of the College Leadership Team to explore the range of different options available to the student going forward.</w:t>
      </w:r>
    </w:p>
    <w:p w:rsidR="00C30EFF" w:rsidRPr="00C30EFF" w:rsidRDefault="00C30EFF" w:rsidP="00C30EFF"/>
    <w:p w:rsidR="00C30EFF" w:rsidRDefault="00C30EFF" w:rsidP="00C30EFF"/>
    <w:p w:rsidR="00A73109" w:rsidRDefault="00A73109" w:rsidP="00A73109">
      <w:pPr>
        <w:pStyle w:val="ListParagraph"/>
        <w:numPr>
          <w:ilvl w:val="0"/>
          <w:numId w:val="1"/>
        </w:numPr>
        <w:rPr>
          <w:b/>
          <w:u w:val="single"/>
        </w:rPr>
      </w:pPr>
      <w:r w:rsidRPr="00A73109">
        <w:rPr>
          <w:b/>
          <w:u w:val="single"/>
        </w:rPr>
        <w:t xml:space="preserve">What other requirements </w:t>
      </w:r>
      <w:proofErr w:type="gramStart"/>
      <w:r w:rsidRPr="00A73109">
        <w:rPr>
          <w:b/>
          <w:u w:val="single"/>
        </w:rPr>
        <w:t>will be taken</w:t>
      </w:r>
      <w:proofErr w:type="gramEnd"/>
      <w:r w:rsidRPr="00A73109">
        <w:rPr>
          <w:b/>
          <w:u w:val="single"/>
        </w:rPr>
        <w:t xml:space="preserve"> into consideration for student re-enrolment into Year 13?</w:t>
      </w:r>
    </w:p>
    <w:p w:rsidR="00EA2265" w:rsidRDefault="00EA2265" w:rsidP="00EA2265">
      <w:r w:rsidRPr="00EA2265">
        <w:t xml:space="preserve">In addition, the </w:t>
      </w:r>
      <w:r>
        <w:t xml:space="preserve">End of </w:t>
      </w:r>
      <w:r w:rsidRPr="00EA2265">
        <w:t xml:space="preserve">Year 12 Progress Report will also include the following further information </w:t>
      </w:r>
      <w:r w:rsidR="00BA061B">
        <w:t xml:space="preserve">relevant to a discussion of a student’s re-enrolment </w:t>
      </w:r>
      <w:r w:rsidRPr="00EA2265">
        <w:t>to Year 13:</w:t>
      </w:r>
    </w:p>
    <w:p w:rsidR="00EA2265" w:rsidRPr="00EA2265" w:rsidRDefault="00EA2265" w:rsidP="00EA2265">
      <w:pPr>
        <w:rPr>
          <w:b/>
          <w:u w:val="single"/>
        </w:rPr>
      </w:pPr>
      <w:r w:rsidRPr="00EA2265">
        <w:rPr>
          <w:b/>
          <w:u w:val="single"/>
        </w:rPr>
        <w:t>Attendance:</w:t>
      </w:r>
    </w:p>
    <w:p w:rsidR="00EA2265" w:rsidRPr="00EA2265" w:rsidRDefault="00EA2265" w:rsidP="00EA2265">
      <w:pPr>
        <w:numPr>
          <w:ilvl w:val="0"/>
          <w:numId w:val="5"/>
        </w:numPr>
        <w:contextualSpacing/>
      </w:pPr>
      <w:r w:rsidRPr="00EA2265">
        <w:t xml:space="preserve">At Toot Hill College, we expect 100% Present and Authorised Absence attendance from all students. Any figure below this percentage </w:t>
      </w:r>
      <w:proofErr w:type="gramStart"/>
      <w:r w:rsidRPr="00EA2265">
        <w:t>will be taken</w:t>
      </w:r>
      <w:proofErr w:type="gramEnd"/>
      <w:r w:rsidRPr="00EA2265">
        <w:t xml:space="preserve"> into consideration </w:t>
      </w:r>
      <w:r w:rsidR="00BA061B">
        <w:t>at meetings considering re-enrolment to Year 13</w:t>
      </w:r>
      <w:r w:rsidRPr="00EA2265">
        <w:t>.</w:t>
      </w:r>
    </w:p>
    <w:p w:rsidR="00EA2265" w:rsidRPr="00EA2265" w:rsidRDefault="00EA2265" w:rsidP="00EA2265">
      <w:pPr>
        <w:ind w:left="720"/>
        <w:contextualSpacing/>
      </w:pPr>
    </w:p>
    <w:p w:rsidR="00EA2265" w:rsidRPr="00EA2265" w:rsidRDefault="00EA2265" w:rsidP="00EA2265">
      <w:pPr>
        <w:rPr>
          <w:b/>
          <w:u w:val="single"/>
        </w:rPr>
      </w:pPr>
      <w:r w:rsidRPr="00EA2265">
        <w:rPr>
          <w:b/>
          <w:u w:val="single"/>
        </w:rPr>
        <w:t>Homework and Effort:</w:t>
      </w:r>
    </w:p>
    <w:p w:rsidR="00BA061B" w:rsidRPr="00EA2265" w:rsidRDefault="00EA2265" w:rsidP="00BA061B">
      <w:pPr>
        <w:numPr>
          <w:ilvl w:val="0"/>
          <w:numId w:val="5"/>
        </w:numPr>
        <w:contextualSpacing/>
      </w:pPr>
      <w:r w:rsidRPr="00EA2265">
        <w:t xml:space="preserve">At Toot Hill College, we expect all students to try their best. As such, homework and effort scores </w:t>
      </w:r>
      <w:proofErr w:type="gramStart"/>
      <w:r w:rsidRPr="00EA2265">
        <w:t>will also be taken</w:t>
      </w:r>
      <w:proofErr w:type="gramEnd"/>
      <w:r w:rsidRPr="00EA2265">
        <w:t xml:space="preserve"> into consideration </w:t>
      </w:r>
      <w:r w:rsidR="00BA061B">
        <w:t>at meetings considering re-enrolment to Year 13</w:t>
      </w:r>
      <w:r w:rsidR="00BA061B" w:rsidRPr="00EA2265">
        <w:t>.</w:t>
      </w:r>
    </w:p>
    <w:p w:rsidR="0065001C" w:rsidRDefault="0065001C" w:rsidP="00BA061B">
      <w:pPr>
        <w:ind w:left="720"/>
        <w:contextualSpacing/>
      </w:pPr>
    </w:p>
    <w:p w:rsidR="0065001C" w:rsidRDefault="0065001C" w:rsidP="0065001C">
      <w:pPr>
        <w:contextualSpacing/>
      </w:pPr>
    </w:p>
    <w:p w:rsidR="00D50975" w:rsidRDefault="00D50975" w:rsidP="0065001C">
      <w:pPr>
        <w:contextualSpacing/>
        <w:rPr>
          <w:b/>
          <w:u w:val="single"/>
        </w:rPr>
      </w:pPr>
    </w:p>
    <w:p w:rsidR="0065001C" w:rsidRDefault="0065001C" w:rsidP="0065001C">
      <w:pPr>
        <w:contextualSpacing/>
        <w:rPr>
          <w:b/>
          <w:u w:val="single"/>
        </w:rPr>
      </w:pPr>
      <w:r>
        <w:rPr>
          <w:b/>
          <w:u w:val="single"/>
        </w:rPr>
        <w:t>What next?</w:t>
      </w:r>
    </w:p>
    <w:p w:rsidR="0065001C" w:rsidRDefault="0065001C" w:rsidP="0065001C">
      <w:pPr>
        <w:contextualSpacing/>
        <w:rPr>
          <w:b/>
          <w:u w:val="single"/>
        </w:rPr>
      </w:pPr>
    </w:p>
    <w:p w:rsidR="0065001C" w:rsidRPr="0065001C" w:rsidRDefault="0065001C" w:rsidP="0065001C">
      <w:pPr>
        <w:contextualSpacing/>
      </w:pPr>
      <w:r w:rsidRPr="0065001C">
        <w:t xml:space="preserve">If you have any further questions or concerns regarding the Toot Hill College re-enrolment policy to Year 13, please do not hesitate to contact us on 01949 863072 or </w:t>
      </w:r>
      <w:hyperlink r:id="rId5" w:history="1">
        <w:r w:rsidRPr="0065001C">
          <w:rPr>
            <w:rStyle w:val="Hyperlink"/>
            <w:u w:val="none"/>
          </w:rPr>
          <w:t>college.admin@toothillschool.co.uk</w:t>
        </w:r>
      </w:hyperlink>
      <w:r w:rsidRPr="0065001C">
        <w:t xml:space="preserve"> </w:t>
      </w:r>
    </w:p>
    <w:sectPr w:rsidR="0065001C" w:rsidRPr="0065001C" w:rsidSect="00823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A69"/>
    <w:multiLevelType w:val="hybridMultilevel"/>
    <w:tmpl w:val="87D2053A"/>
    <w:lvl w:ilvl="0" w:tplc="3716C844">
      <w:start w:val="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6155"/>
    <w:multiLevelType w:val="hybridMultilevel"/>
    <w:tmpl w:val="638A1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25BE"/>
    <w:multiLevelType w:val="hybridMultilevel"/>
    <w:tmpl w:val="19B8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17C32"/>
    <w:multiLevelType w:val="hybridMultilevel"/>
    <w:tmpl w:val="A500624A"/>
    <w:lvl w:ilvl="0" w:tplc="1C2042F8">
      <w:start w:val="1"/>
      <w:numFmt w:val="bullet"/>
      <w:lvlText w:val="•"/>
      <w:lvlJc w:val="left"/>
      <w:pPr>
        <w:tabs>
          <w:tab w:val="num" w:pos="720"/>
        </w:tabs>
        <w:ind w:left="720" w:hanging="360"/>
      </w:pPr>
      <w:rPr>
        <w:rFonts w:ascii="Arial" w:hAnsi="Arial" w:hint="default"/>
      </w:rPr>
    </w:lvl>
    <w:lvl w:ilvl="1" w:tplc="839A504A" w:tentative="1">
      <w:start w:val="1"/>
      <w:numFmt w:val="bullet"/>
      <w:lvlText w:val="•"/>
      <w:lvlJc w:val="left"/>
      <w:pPr>
        <w:tabs>
          <w:tab w:val="num" w:pos="1440"/>
        </w:tabs>
        <w:ind w:left="1440" w:hanging="360"/>
      </w:pPr>
      <w:rPr>
        <w:rFonts w:ascii="Arial" w:hAnsi="Arial" w:hint="default"/>
      </w:rPr>
    </w:lvl>
    <w:lvl w:ilvl="2" w:tplc="9376BA70" w:tentative="1">
      <w:start w:val="1"/>
      <w:numFmt w:val="bullet"/>
      <w:lvlText w:val="•"/>
      <w:lvlJc w:val="left"/>
      <w:pPr>
        <w:tabs>
          <w:tab w:val="num" w:pos="2160"/>
        </w:tabs>
        <w:ind w:left="2160" w:hanging="360"/>
      </w:pPr>
      <w:rPr>
        <w:rFonts w:ascii="Arial" w:hAnsi="Arial" w:hint="default"/>
      </w:rPr>
    </w:lvl>
    <w:lvl w:ilvl="3" w:tplc="D4DCB8DE" w:tentative="1">
      <w:start w:val="1"/>
      <w:numFmt w:val="bullet"/>
      <w:lvlText w:val="•"/>
      <w:lvlJc w:val="left"/>
      <w:pPr>
        <w:tabs>
          <w:tab w:val="num" w:pos="2880"/>
        </w:tabs>
        <w:ind w:left="2880" w:hanging="360"/>
      </w:pPr>
      <w:rPr>
        <w:rFonts w:ascii="Arial" w:hAnsi="Arial" w:hint="default"/>
      </w:rPr>
    </w:lvl>
    <w:lvl w:ilvl="4" w:tplc="9482E4E6" w:tentative="1">
      <w:start w:val="1"/>
      <w:numFmt w:val="bullet"/>
      <w:lvlText w:val="•"/>
      <w:lvlJc w:val="left"/>
      <w:pPr>
        <w:tabs>
          <w:tab w:val="num" w:pos="3600"/>
        </w:tabs>
        <w:ind w:left="3600" w:hanging="360"/>
      </w:pPr>
      <w:rPr>
        <w:rFonts w:ascii="Arial" w:hAnsi="Arial" w:hint="default"/>
      </w:rPr>
    </w:lvl>
    <w:lvl w:ilvl="5" w:tplc="D0504212" w:tentative="1">
      <w:start w:val="1"/>
      <w:numFmt w:val="bullet"/>
      <w:lvlText w:val="•"/>
      <w:lvlJc w:val="left"/>
      <w:pPr>
        <w:tabs>
          <w:tab w:val="num" w:pos="4320"/>
        </w:tabs>
        <w:ind w:left="4320" w:hanging="360"/>
      </w:pPr>
      <w:rPr>
        <w:rFonts w:ascii="Arial" w:hAnsi="Arial" w:hint="default"/>
      </w:rPr>
    </w:lvl>
    <w:lvl w:ilvl="6" w:tplc="20F24B5E" w:tentative="1">
      <w:start w:val="1"/>
      <w:numFmt w:val="bullet"/>
      <w:lvlText w:val="•"/>
      <w:lvlJc w:val="left"/>
      <w:pPr>
        <w:tabs>
          <w:tab w:val="num" w:pos="5040"/>
        </w:tabs>
        <w:ind w:left="5040" w:hanging="360"/>
      </w:pPr>
      <w:rPr>
        <w:rFonts w:ascii="Arial" w:hAnsi="Arial" w:hint="default"/>
      </w:rPr>
    </w:lvl>
    <w:lvl w:ilvl="7" w:tplc="C9C4016A" w:tentative="1">
      <w:start w:val="1"/>
      <w:numFmt w:val="bullet"/>
      <w:lvlText w:val="•"/>
      <w:lvlJc w:val="left"/>
      <w:pPr>
        <w:tabs>
          <w:tab w:val="num" w:pos="5760"/>
        </w:tabs>
        <w:ind w:left="5760" w:hanging="360"/>
      </w:pPr>
      <w:rPr>
        <w:rFonts w:ascii="Arial" w:hAnsi="Arial" w:hint="default"/>
      </w:rPr>
    </w:lvl>
    <w:lvl w:ilvl="8" w:tplc="AF6EC1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82339E"/>
    <w:multiLevelType w:val="hybridMultilevel"/>
    <w:tmpl w:val="8544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87EF9"/>
    <w:multiLevelType w:val="hybridMultilevel"/>
    <w:tmpl w:val="B844B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6133F"/>
    <w:multiLevelType w:val="hybridMultilevel"/>
    <w:tmpl w:val="7884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87897"/>
    <w:multiLevelType w:val="hybridMultilevel"/>
    <w:tmpl w:val="ADAAC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211DE"/>
    <w:multiLevelType w:val="hybridMultilevel"/>
    <w:tmpl w:val="26C6D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20FC"/>
    <w:multiLevelType w:val="hybridMultilevel"/>
    <w:tmpl w:val="1DB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E4553"/>
    <w:multiLevelType w:val="hybridMultilevel"/>
    <w:tmpl w:val="D11C9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21FB"/>
    <w:multiLevelType w:val="hybridMultilevel"/>
    <w:tmpl w:val="A84CD7C4"/>
    <w:lvl w:ilvl="0" w:tplc="1966A46C">
      <w:start w:val="1"/>
      <w:numFmt w:val="bullet"/>
      <w:lvlText w:val="•"/>
      <w:lvlJc w:val="left"/>
      <w:pPr>
        <w:tabs>
          <w:tab w:val="num" w:pos="720"/>
        </w:tabs>
        <w:ind w:left="720" w:hanging="360"/>
      </w:pPr>
      <w:rPr>
        <w:rFonts w:ascii="Arial" w:hAnsi="Arial" w:hint="default"/>
      </w:rPr>
    </w:lvl>
    <w:lvl w:ilvl="1" w:tplc="655E1CBC" w:tentative="1">
      <w:start w:val="1"/>
      <w:numFmt w:val="bullet"/>
      <w:lvlText w:val="•"/>
      <w:lvlJc w:val="left"/>
      <w:pPr>
        <w:tabs>
          <w:tab w:val="num" w:pos="1440"/>
        </w:tabs>
        <w:ind w:left="1440" w:hanging="360"/>
      </w:pPr>
      <w:rPr>
        <w:rFonts w:ascii="Arial" w:hAnsi="Arial" w:hint="default"/>
      </w:rPr>
    </w:lvl>
    <w:lvl w:ilvl="2" w:tplc="9EFEF76E" w:tentative="1">
      <w:start w:val="1"/>
      <w:numFmt w:val="bullet"/>
      <w:lvlText w:val="•"/>
      <w:lvlJc w:val="left"/>
      <w:pPr>
        <w:tabs>
          <w:tab w:val="num" w:pos="2160"/>
        </w:tabs>
        <w:ind w:left="2160" w:hanging="360"/>
      </w:pPr>
      <w:rPr>
        <w:rFonts w:ascii="Arial" w:hAnsi="Arial" w:hint="default"/>
      </w:rPr>
    </w:lvl>
    <w:lvl w:ilvl="3" w:tplc="BC7C858E" w:tentative="1">
      <w:start w:val="1"/>
      <w:numFmt w:val="bullet"/>
      <w:lvlText w:val="•"/>
      <w:lvlJc w:val="left"/>
      <w:pPr>
        <w:tabs>
          <w:tab w:val="num" w:pos="2880"/>
        </w:tabs>
        <w:ind w:left="2880" w:hanging="360"/>
      </w:pPr>
      <w:rPr>
        <w:rFonts w:ascii="Arial" w:hAnsi="Arial" w:hint="default"/>
      </w:rPr>
    </w:lvl>
    <w:lvl w:ilvl="4" w:tplc="F7C87D3E" w:tentative="1">
      <w:start w:val="1"/>
      <w:numFmt w:val="bullet"/>
      <w:lvlText w:val="•"/>
      <w:lvlJc w:val="left"/>
      <w:pPr>
        <w:tabs>
          <w:tab w:val="num" w:pos="3600"/>
        </w:tabs>
        <w:ind w:left="3600" w:hanging="360"/>
      </w:pPr>
      <w:rPr>
        <w:rFonts w:ascii="Arial" w:hAnsi="Arial" w:hint="default"/>
      </w:rPr>
    </w:lvl>
    <w:lvl w:ilvl="5" w:tplc="4482B06E" w:tentative="1">
      <w:start w:val="1"/>
      <w:numFmt w:val="bullet"/>
      <w:lvlText w:val="•"/>
      <w:lvlJc w:val="left"/>
      <w:pPr>
        <w:tabs>
          <w:tab w:val="num" w:pos="4320"/>
        </w:tabs>
        <w:ind w:left="4320" w:hanging="360"/>
      </w:pPr>
      <w:rPr>
        <w:rFonts w:ascii="Arial" w:hAnsi="Arial" w:hint="default"/>
      </w:rPr>
    </w:lvl>
    <w:lvl w:ilvl="6" w:tplc="222A0A66" w:tentative="1">
      <w:start w:val="1"/>
      <w:numFmt w:val="bullet"/>
      <w:lvlText w:val="•"/>
      <w:lvlJc w:val="left"/>
      <w:pPr>
        <w:tabs>
          <w:tab w:val="num" w:pos="5040"/>
        </w:tabs>
        <w:ind w:left="5040" w:hanging="360"/>
      </w:pPr>
      <w:rPr>
        <w:rFonts w:ascii="Arial" w:hAnsi="Arial" w:hint="default"/>
      </w:rPr>
    </w:lvl>
    <w:lvl w:ilvl="7" w:tplc="40926F2E" w:tentative="1">
      <w:start w:val="1"/>
      <w:numFmt w:val="bullet"/>
      <w:lvlText w:val="•"/>
      <w:lvlJc w:val="left"/>
      <w:pPr>
        <w:tabs>
          <w:tab w:val="num" w:pos="5760"/>
        </w:tabs>
        <w:ind w:left="5760" w:hanging="360"/>
      </w:pPr>
      <w:rPr>
        <w:rFonts w:ascii="Arial" w:hAnsi="Arial" w:hint="default"/>
      </w:rPr>
    </w:lvl>
    <w:lvl w:ilvl="8" w:tplc="9B72EC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E2ABB"/>
    <w:multiLevelType w:val="hybridMultilevel"/>
    <w:tmpl w:val="7BCCD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27418"/>
    <w:multiLevelType w:val="hybridMultilevel"/>
    <w:tmpl w:val="5770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32CE1"/>
    <w:multiLevelType w:val="hybridMultilevel"/>
    <w:tmpl w:val="6F70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B5A78"/>
    <w:multiLevelType w:val="hybridMultilevel"/>
    <w:tmpl w:val="245A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B4D51"/>
    <w:multiLevelType w:val="hybridMultilevel"/>
    <w:tmpl w:val="D4C66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6120F"/>
    <w:multiLevelType w:val="hybridMultilevel"/>
    <w:tmpl w:val="01B4D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7F462D"/>
    <w:multiLevelType w:val="hybridMultilevel"/>
    <w:tmpl w:val="206AC4AC"/>
    <w:lvl w:ilvl="0" w:tplc="FC44773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7"/>
  </w:num>
  <w:num w:numId="5">
    <w:abstractNumId w:val="9"/>
  </w:num>
  <w:num w:numId="6">
    <w:abstractNumId w:val="18"/>
  </w:num>
  <w:num w:numId="7">
    <w:abstractNumId w:val="0"/>
  </w:num>
  <w:num w:numId="8">
    <w:abstractNumId w:val="1"/>
  </w:num>
  <w:num w:numId="9">
    <w:abstractNumId w:val="15"/>
  </w:num>
  <w:num w:numId="10">
    <w:abstractNumId w:val="8"/>
  </w:num>
  <w:num w:numId="11">
    <w:abstractNumId w:val="5"/>
  </w:num>
  <w:num w:numId="12">
    <w:abstractNumId w:val="11"/>
  </w:num>
  <w:num w:numId="13">
    <w:abstractNumId w:val="3"/>
  </w:num>
  <w:num w:numId="14">
    <w:abstractNumId w:val="2"/>
  </w:num>
  <w:num w:numId="15">
    <w:abstractNumId w:val="13"/>
  </w:num>
  <w:num w:numId="16">
    <w:abstractNumId w:val="10"/>
  </w:num>
  <w:num w:numId="17">
    <w:abstractNumId w:val="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6F"/>
    <w:rsid w:val="00087698"/>
    <w:rsid w:val="001848CF"/>
    <w:rsid w:val="001B726F"/>
    <w:rsid w:val="001D3FA2"/>
    <w:rsid w:val="0022793D"/>
    <w:rsid w:val="003516E2"/>
    <w:rsid w:val="0038134E"/>
    <w:rsid w:val="00392B07"/>
    <w:rsid w:val="00395DAD"/>
    <w:rsid w:val="003F3BF8"/>
    <w:rsid w:val="004E7107"/>
    <w:rsid w:val="00615B95"/>
    <w:rsid w:val="0065001C"/>
    <w:rsid w:val="0065085C"/>
    <w:rsid w:val="00661AC0"/>
    <w:rsid w:val="006E5E98"/>
    <w:rsid w:val="00726B8B"/>
    <w:rsid w:val="00823785"/>
    <w:rsid w:val="00841722"/>
    <w:rsid w:val="0086355B"/>
    <w:rsid w:val="009E23D4"/>
    <w:rsid w:val="009F6290"/>
    <w:rsid w:val="00A428E3"/>
    <w:rsid w:val="00A4415F"/>
    <w:rsid w:val="00A73109"/>
    <w:rsid w:val="00A93DA6"/>
    <w:rsid w:val="00B43A6E"/>
    <w:rsid w:val="00BA061B"/>
    <w:rsid w:val="00BA1400"/>
    <w:rsid w:val="00BB723C"/>
    <w:rsid w:val="00BC57FB"/>
    <w:rsid w:val="00C063E5"/>
    <w:rsid w:val="00C30EFF"/>
    <w:rsid w:val="00D41193"/>
    <w:rsid w:val="00D50975"/>
    <w:rsid w:val="00D5153C"/>
    <w:rsid w:val="00DB6234"/>
    <w:rsid w:val="00DC1F51"/>
    <w:rsid w:val="00DD08E3"/>
    <w:rsid w:val="00EA2265"/>
    <w:rsid w:val="00EA28A9"/>
    <w:rsid w:val="00EF13F1"/>
    <w:rsid w:val="00F62CE4"/>
    <w:rsid w:val="00FA1D2D"/>
    <w:rsid w:val="00FA2C69"/>
    <w:rsid w:val="00FC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F565"/>
  <w15:chartTrackingRefBased/>
  <w15:docId w15:val="{01D4C384-CD58-49B0-881C-F2BF7E01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8E3"/>
    <w:pPr>
      <w:ind w:left="720"/>
      <w:contextualSpacing/>
    </w:pPr>
  </w:style>
  <w:style w:type="character" w:styleId="Hyperlink">
    <w:name w:val="Hyperlink"/>
    <w:basedOn w:val="DefaultParagraphFont"/>
    <w:uiPriority w:val="99"/>
    <w:unhideWhenUsed/>
    <w:rsid w:val="00650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89051">
      <w:bodyDiv w:val="1"/>
      <w:marLeft w:val="0"/>
      <w:marRight w:val="0"/>
      <w:marTop w:val="0"/>
      <w:marBottom w:val="0"/>
      <w:divBdr>
        <w:top w:val="none" w:sz="0" w:space="0" w:color="auto"/>
        <w:left w:val="none" w:sz="0" w:space="0" w:color="auto"/>
        <w:bottom w:val="none" w:sz="0" w:space="0" w:color="auto"/>
        <w:right w:val="none" w:sz="0" w:space="0" w:color="auto"/>
      </w:divBdr>
      <w:divsChild>
        <w:div w:id="150681558">
          <w:marLeft w:val="360"/>
          <w:marRight w:val="0"/>
          <w:marTop w:val="200"/>
          <w:marBottom w:val="0"/>
          <w:divBdr>
            <w:top w:val="none" w:sz="0" w:space="0" w:color="auto"/>
            <w:left w:val="none" w:sz="0" w:space="0" w:color="auto"/>
            <w:bottom w:val="none" w:sz="0" w:space="0" w:color="auto"/>
            <w:right w:val="none" w:sz="0" w:space="0" w:color="auto"/>
          </w:divBdr>
        </w:div>
      </w:divsChild>
    </w:div>
    <w:div w:id="970867655">
      <w:bodyDiv w:val="1"/>
      <w:marLeft w:val="0"/>
      <w:marRight w:val="0"/>
      <w:marTop w:val="0"/>
      <w:marBottom w:val="0"/>
      <w:divBdr>
        <w:top w:val="none" w:sz="0" w:space="0" w:color="auto"/>
        <w:left w:val="none" w:sz="0" w:space="0" w:color="auto"/>
        <w:bottom w:val="none" w:sz="0" w:space="0" w:color="auto"/>
        <w:right w:val="none" w:sz="0" w:space="0" w:color="auto"/>
      </w:divBdr>
      <w:divsChild>
        <w:div w:id="818887605">
          <w:marLeft w:val="360"/>
          <w:marRight w:val="0"/>
          <w:marTop w:val="200"/>
          <w:marBottom w:val="0"/>
          <w:divBdr>
            <w:top w:val="none" w:sz="0" w:space="0" w:color="auto"/>
            <w:left w:val="none" w:sz="0" w:space="0" w:color="auto"/>
            <w:bottom w:val="none" w:sz="0" w:space="0" w:color="auto"/>
            <w:right w:val="none" w:sz="0" w:space="0" w:color="auto"/>
          </w:divBdr>
        </w:div>
        <w:div w:id="653486426">
          <w:marLeft w:val="360"/>
          <w:marRight w:val="0"/>
          <w:marTop w:val="200"/>
          <w:marBottom w:val="0"/>
          <w:divBdr>
            <w:top w:val="none" w:sz="0" w:space="0" w:color="auto"/>
            <w:left w:val="none" w:sz="0" w:space="0" w:color="auto"/>
            <w:bottom w:val="none" w:sz="0" w:space="0" w:color="auto"/>
            <w:right w:val="none" w:sz="0" w:space="0" w:color="auto"/>
          </w:divBdr>
        </w:div>
        <w:div w:id="537472695">
          <w:marLeft w:val="360"/>
          <w:marRight w:val="0"/>
          <w:marTop w:val="200"/>
          <w:marBottom w:val="0"/>
          <w:divBdr>
            <w:top w:val="none" w:sz="0" w:space="0" w:color="auto"/>
            <w:left w:val="none" w:sz="0" w:space="0" w:color="auto"/>
            <w:bottom w:val="none" w:sz="0" w:space="0" w:color="auto"/>
            <w:right w:val="none" w:sz="0" w:space="0" w:color="auto"/>
          </w:divBdr>
        </w:div>
      </w:divsChild>
    </w:div>
    <w:div w:id="11050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ge.admin@toothill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Sarah Fox</cp:lastModifiedBy>
  <cp:revision>3</cp:revision>
  <dcterms:created xsi:type="dcterms:W3CDTF">2018-02-26T11:47:00Z</dcterms:created>
  <dcterms:modified xsi:type="dcterms:W3CDTF">2018-02-26T11:47:00Z</dcterms:modified>
</cp:coreProperties>
</file>